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3" w:line="259" w:lineRule="auto"/>
        <w:ind w:left="254" w:firstLine="0"/>
        <w:jc w:val="center"/>
      </w:pPr>
      <w:r>
        <w:rPr>
          <w:rFonts w:ascii="微软雅黑" w:hAnsi="微软雅黑" w:eastAsia="微软雅黑" w:cs="微软雅黑"/>
          <w:sz w:val="84"/>
        </w:rPr>
        <w:t xml:space="preserve"> </w:t>
      </w:r>
    </w:p>
    <w:p>
      <w:pPr>
        <w:spacing w:after="64" w:line="259" w:lineRule="auto"/>
        <w:ind w:left="254" w:firstLine="0"/>
        <w:jc w:val="center"/>
      </w:pPr>
      <w:r>
        <w:rPr>
          <w:rFonts w:ascii="微软雅黑" w:hAnsi="微软雅黑" w:eastAsia="微软雅黑" w:cs="微软雅黑"/>
          <w:sz w:val="84"/>
        </w:rPr>
        <w:t xml:space="preserve"> </w:t>
      </w:r>
    </w:p>
    <w:p>
      <w:pPr>
        <w:spacing w:after="63" w:line="259" w:lineRule="auto"/>
        <w:ind w:left="254" w:firstLine="0"/>
        <w:jc w:val="center"/>
      </w:pPr>
      <w:r>
        <w:rPr>
          <w:rFonts w:ascii="微软雅黑" w:hAnsi="微软雅黑" w:eastAsia="微软雅黑" w:cs="微软雅黑"/>
          <w:sz w:val="84"/>
        </w:rPr>
        <w:t xml:space="preserve"> </w:t>
      </w:r>
    </w:p>
    <w:p>
      <w:pPr>
        <w:spacing w:after="0" w:line="275" w:lineRule="auto"/>
        <w:ind w:left="0" w:firstLine="0"/>
        <w:jc w:val="center"/>
      </w:pPr>
      <w:r>
        <w:rPr>
          <w:rFonts w:ascii="微软雅黑" w:hAnsi="微软雅黑" w:eastAsia="微软雅黑" w:cs="微软雅黑"/>
          <w:sz w:val="84"/>
        </w:rPr>
        <w:t>2017年度</w:t>
      </w:r>
      <w:r>
        <w:rPr>
          <w:rFonts w:hint="eastAsia" w:ascii="微软雅黑" w:hAnsi="微软雅黑" w:eastAsia="微软雅黑" w:cs="微软雅黑"/>
          <w:sz w:val="84"/>
          <w:lang w:eastAsia="zh-CN"/>
        </w:rPr>
        <w:t>菏泽市第二人民医院</w:t>
      </w:r>
      <w:r>
        <w:rPr>
          <w:rFonts w:ascii="微软雅黑" w:hAnsi="微软雅黑" w:eastAsia="微软雅黑" w:cs="微软雅黑"/>
          <w:sz w:val="84"/>
        </w:rPr>
        <w:t xml:space="preserve">部门决算 </w:t>
      </w:r>
    </w:p>
    <w:p>
      <w:pPr>
        <w:spacing w:after="64" w:line="259" w:lineRule="auto"/>
        <w:ind w:left="254" w:firstLine="0"/>
        <w:jc w:val="center"/>
      </w:pPr>
      <w:r>
        <w:rPr>
          <w:rFonts w:ascii="微软雅黑" w:hAnsi="微软雅黑" w:eastAsia="微软雅黑" w:cs="微软雅黑"/>
          <w:sz w:val="84"/>
        </w:rPr>
        <w:t xml:space="preserve"> </w:t>
      </w:r>
    </w:p>
    <w:p>
      <w:pPr>
        <w:spacing w:after="63" w:line="259" w:lineRule="auto"/>
        <w:ind w:left="254" w:firstLine="0"/>
        <w:jc w:val="center"/>
      </w:pPr>
      <w:r>
        <w:rPr>
          <w:rFonts w:ascii="微软雅黑" w:hAnsi="微软雅黑" w:eastAsia="微软雅黑" w:cs="微软雅黑"/>
          <w:sz w:val="84"/>
        </w:rPr>
        <w:t xml:space="preserve"> </w:t>
      </w:r>
    </w:p>
    <w:p>
      <w:pPr>
        <w:spacing w:after="0" w:line="259" w:lineRule="auto"/>
        <w:ind w:left="254" w:firstLine="0"/>
        <w:jc w:val="center"/>
      </w:pPr>
      <w:r>
        <w:rPr>
          <w:rFonts w:ascii="微软雅黑" w:hAnsi="微软雅黑" w:eastAsia="微软雅黑" w:cs="微软雅黑"/>
          <w:sz w:val="84"/>
        </w:rPr>
        <w:t xml:space="preserve"> </w:t>
      </w:r>
    </w:p>
    <w:p>
      <w:pPr>
        <w:spacing w:after="337" w:line="259" w:lineRule="auto"/>
        <w:ind w:left="0" w:firstLine="0"/>
      </w:pPr>
      <w:r>
        <w:rPr>
          <w:rFonts w:ascii="Times New Roman" w:hAnsi="Times New Roman" w:eastAsia="Times New Roman" w:cs="Times New Roman"/>
          <w:sz w:val="21"/>
        </w:rPr>
        <w:t xml:space="preserve"> </w:t>
      </w:r>
    </w:p>
    <w:p>
      <w:pPr>
        <w:spacing w:after="0" w:line="259" w:lineRule="auto"/>
        <w:ind w:left="0" w:right="165" w:firstLine="0"/>
        <w:jc w:val="center"/>
        <w:rPr>
          <w:rFonts w:ascii="Arial Unicode MS" w:hAnsi="Arial Unicode MS" w:eastAsia="Arial Unicode MS" w:cs="Arial Unicode MS"/>
          <w:sz w:val="44"/>
        </w:rPr>
      </w:pPr>
    </w:p>
    <w:p>
      <w:pPr>
        <w:spacing w:after="0" w:line="259" w:lineRule="auto"/>
        <w:ind w:left="0" w:right="165" w:firstLine="0"/>
        <w:jc w:val="center"/>
        <w:rPr>
          <w:rFonts w:ascii="Arial Unicode MS" w:hAnsi="Arial Unicode MS" w:eastAsia="Arial Unicode MS" w:cs="Arial Unicode MS"/>
          <w:sz w:val="44"/>
        </w:rPr>
      </w:pPr>
    </w:p>
    <w:p>
      <w:pPr>
        <w:spacing w:after="0" w:line="259" w:lineRule="auto"/>
        <w:ind w:left="0" w:right="165" w:firstLine="0"/>
        <w:jc w:val="center"/>
        <w:rPr>
          <w:rFonts w:ascii="Arial Unicode MS" w:hAnsi="Arial Unicode MS" w:eastAsia="Arial Unicode MS" w:cs="Arial Unicode MS"/>
          <w:sz w:val="44"/>
        </w:rPr>
      </w:pPr>
    </w:p>
    <w:p>
      <w:pPr>
        <w:spacing w:after="0" w:line="259" w:lineRule="auto"/>
        <w:ind w:left="0" w:right="165" w:firstLine="0"/>
        <w:jc w:val="center"/>
        <w:rPr>
          <w:rFonts w:ascii="Arial Unicode MS" w:hAnsi="Arial Unicode MS" w:eastAsia="Arial Unicode MS" w:cs="Arial Unicode MS"/>
          <w:sz w:val="44"/>
        </w:rPr>
      </w:pPr>
    </w:p>
    <w:p>
      <w:pPr>
        <w:spacing w:after="0" w:line="259" w:lineRule="auto"/>
        <w:ind w:left="0" w:right="165" w:firstLine="0"/>
        <w:jc w:val="center"/>
        <w:rPr>
          <w:rFonts w:ascii="Arial Unicode MS" w:hAnsi="Arial Unicode MS" w:eastAsia="Arial Unicode MS" w:cs="Arial Unicode MS"/>
          <w:sz w:val="44"/>
        </w:rPr>
      </w:pPr>
    </w:p>
    <w:p>
      <w:pPr>
        <w:spacing w:after="0" w:line="259" w:lineRule="auto"/>
        <w:ind w:left="0" w:right="165" w:firstLine="0"/>
        <w:jc w:val="center"/>
        <w:rPr>
          <w:rFonts w:ascii="Arial Unicode MS" w:hAnsi="Arial Unicode MS" w:eastAsia="Arial Unicode MS" w:cs="Arial Unicode MS"/>
          <w:sz w:val="44"/>
        </w:rPr>
      </w:pPr>
    </w:p>
    <w:p>
      <w:pPr>
        <w:spacing w:after="0" w:line="259" w:lineRule="auto"/>
        <w:ind w:left="0" w:right="165" w:firstLine="0"/>
        <w:jc w:val="center"/>
        <w:rPr>
          <w:rFonts w:ascii="Arial Unicode MS" w:hAnsi="Arial Unicode MS" w:eastAsia="Arial Unicode MS" w:cs="Arial Unicode MS"/>
          <w:sz w:val="44"/>
        </w:rPr>
      </w:pPr>
    </w:p>
    <w:p>
      <w:pPr>
        <w:spacing w:after="0" w:line="259" w:lineRule="auto"/>
        <w:ind w:left="0" w:right="165" w:firstLine="0"/>
        <w:jc w:val="center"/>
        <w:rPr>
          <w:rFonts w:ascii="Arial Unicode MS" w:hAnsi="Arial Unicode MS" w:eastAsia="Arial Unicode MS" w:cs="Arial Unicode MS"/>
          <w:sz w:val="44"/>
        </w:rPr>
      </w:pPr>
    </w:p>
    <w:p>
      <w:pPr>
        <w:spacing w:after="0" w:line="259" w:lineRule="auto"/>
        <w:ind w:left="0" w:right="165" w:firstLine="0"/>
        <w:jc w:val="center"/>
        <w:rPr>
          <w:rFonts w:ascii="Arial Unicode MS" w:hAnsi="Arial Unicode MS" w:eastAsia="Arial Unicode MS" w:cs="Arial Unicode MS"/>
          <w:sz w:val="44"/>
        </w:rPr>
      </w:pPr>
    </w:p>
    <w:p>
      <w:pPr>
        <w:spacing w:after="0" w:line="259" w:lineRule="auto"/>
        <w:ind w:left="0" w:right="165" w:firstLine="0"/>
        <w:jc w:val="center"/>
        <w:rPr>
          <w:rFonts w:ascii="Arial Unicode MS" w:hAnsi="Arial Unicode MS" w:eastAsia="Arial Unicode MS" w:cs="Arial Unicode MS"/>
          <w:sz w:val="44"/>
        </w:rPr>
      </w:pPr>
    </w:p>
    <w:p>
      <w:pPr>
        <w:spacing w:after="0" w:line="259" w:lineRule="auto"/>
        <w:ind w:left="0" w:right="165" w:firstLine="0"/>
        <w:jc w:val="center"/>
      </w:pPr>
      <w:r>
        <w:rPr>
          <w:rFonts w:ascii="Arial Unicode MS" w:hAnsi="Arial Unicode MS" w:eastAsia="Arial Unicode MS" w:cs="Arial Unicode MS"/>
          <w:sz w:val="44"/>
        </w:rPr>
        <w:t xml:space="preserve">目     录 </w:t>
      </w:r>
    </w:p>
    <w:p>
      <w:pPr>
        <w:spacing w:after="0" w:line="259" w:lineRule="auto"/>
        <w:ind w:left="55" w:firstLine="0"/>
        <w:jc w:val="center"/>
      </w:pPr>
      <w:r>
        <w:rPr>
          <w:rFonts w:ascii="黑体" w:hAnsi="黑体" w:eastAsia="黑体" w:cs="黑体"/>
          <w:sz w:val="44"/>
        </w:rPr>
        <w:t xml:space="preserve"> </w:t>
      </w:r>
    </w:p>
    <w:p>
      <w:pPr>
        <w:pStyle w:val="2"/>
        <w:spacing w:after="150"/>
      </w:pPr>
      <w:r>
        <w:rPr>
          <w:sz w:val="32"/>
        </w:rPr>
        <w:t xml:space="preserve">第一部分  概况 </w:t>
      </w:r>
    </w:p>
    <w:p>
      <w:pPr>
        <w:spacing w:after="0"/>
        <w:ind w:left="918" w:right="4198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一、部门职责</w:t>
      </w:r>
    </w:p>
    <w:p>
      <w:pPr>
        <w:spacing w:after="0"/>
        <w:ind w:left="918" w:right="4198"/>
      </w:pPr>
      <w:r>
        <w:rPr>
          <w:rFonts w:ascii="宋体" w:hAnsi="宋体" w:eastAsia="宋体" w:cs="宋体"/>
        </w:rPr>
        <w:t>二、机构设置</w:t>
      </w:r>
      <w:r>
        <w:rPr>
          <w:rFonts w:ascii="黑体" w:hAnsi="黑体" w:eastAsia="黑体" w:cs="黑体"/>
        </w:rPr>
        <w:t xml:space="preserve">  </w:t>
      </w:r>
    </w:p>
    <w:p>
      <w:pPr>
        <w:pStyle w:val="2"/>
        <w:spacing w:after="150"/>
      </w:pPr>
      <w:r>
        <w:rPr>
          <w:sz w:val="32"/>
        </w:rPr>
        <w:t xml:space="preserve">第二部分  2017年度部门决算表 </w:t>
      </w:r>
    </w:p>
    <w:p>
      <w:pPr>
        <w:spacing w:after="0"/>
        <w:ind w:left="918" w:right="3558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一、收入支出决算总表</w:t>
      </w:r>
    </w:p>
    <w:p>
      <w:pPr>
        <w:spacing w:after="0"/>
        <w:ind w:left="918" w:right="3558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二、收入决算表</w:t>
      </w:r>
    </w:p>
    <w:p>
      <w:pPr>
        <w:spacing w:after="0"/>
        <w:ind w:left="918" w:right="3558"/>
      </w:pPr>
      <w:r>
        <w:rPr>
          <w:rFonts w:ascii="宋体" w:hAnsi="宋体" w:eastAsia="宋体" w:cs="宋体"/>
        </w:rPr>
        <w:t xml:space="preserve">三、支出决算表 </w:t>
      </w:r>
    </w:p>
    <w:p>
      <w:pPr>
        <w:numPr>
          <w:ilvl w:val="0"/>
          <w:numId w:val="0"/>
        </w:numPr>
        <w:spacing w:after="150" w:line="259" w:lineRule="auto"/>
        <w:ind w:left="908" w:leftChars="0" w:right="920" w:rightChars="0"/>
      </w:pPr>
      <w:r>
        <w:rPr>
          <w:rFonts w:hint="eastAsia" w:ascii="宋体" w:hAnsi="宋体" w:eastAsia="宋体" w:cs="宋体"/>
          <w:lang w:eastAsia="zh-CN"/>
        </w:rPr>
        <w:t>四、</w:t>
      </w:r>
      <w:r>
        <w:rPr>
          <w:rFonts w:ascii="宋体" w:hAnsi="宋体" w:eastAsia="宋体" w:cs="宋体"/>
        </w:rPr>
        <w:t xml:space="preserve">财政拨款收入支出决算总表 </w:t>
      </w:r>
    </w:p>
    <w:p>
      <w:pPr>
        <w:numPr>
          <w:ilvl w:val="0"/>
          <w:numId w:val="0"/>
        </w:numPr>
        <w:spacing w:after="150" w:line="259" w:lineRule="auto"/>
        <w:ind w:left="908" w:leftChars="0" w:right="920" w:rightChars="0"/>
      </w:pPr>
      <w:r>
        <w:rPr>
          <w:rFonts w:hint="eastAsia" w:ascii="宋体" w:hAnsi="宋体" w:eastAsia="宋体" w:cs="宋体"/>
          <w:lang w:eastAsia="zh-CN"/>
        </w:rPr>
        <w:t>五、</w:t>
      </w:r>
      <w:r>
        <w:rPr>
          <w:rFonts w:ascii="宋体" w:hAnsi="宋体" w:eastAsia="宋体" w:cs="宋体"/>
        </w:rPr>
        <w:t xml:space="preserve">一般公共预算财政拨款支出决算表 </w:t>
      </w:r>
    </w:p>
    <w:p>
      <w:pPr>
        <w:numPr>
          <w:ilvl w:val="0"/>
          <w:numId w:val="0"/>
        </w:numPr>
        <w:spacing w:after="0"/>
        <w:ind w:left="908" w:leftChars="0" w:right="920" w:rightChars="0"/>
      </w:pPr>
      <w:r>
        <w:rPr>
          <w:rFonts w:hint="eastAsia" w:ascii="宋体" w:hAnsi="宋体" w:eastAsia="宋体" w:cs="宋体"/>
          <w:lang w:eastAsia="zh-CN"/>
        </w:rPr>
        <w:t>六、</w:t>
      </w:r>
      <w:r>
        <w:rPr>
          <w:rFonts w:ascii="宋体" w:hAnsi="宋体" w:eastAsia="宋体" w:cs="宋体"/>
        </w:rPr>
        <w:t xml:space="preserve">一般公共预算财政拨款基本支出决算表 </w:t>
      </w:r>
    </w:p>
    <w:p>
      <w:pPr>
        <w:numPr>
          <w:ilvl w:val="0"/>
          <w:numId w:val="0"/>
        </w:numPr>
        <w:spacing w:after="0"/>
        <w:ind w:left="908" w:leftChars="0" w:right="920" w:rightChars="0"/>
      </w:pPr>
      <w:r>
        <w:rPr>
          <w:rFonts w:ascii="宋体" w:hAnsi="宋体" w:eastAsia="宋体" w:cs="宋体"/>
        </w:rPr>
        <w:t xml:space="preserve">七、政府性基金预算财政拨款收入支出决算表 </w:t>
      </w:r>
    </w:p>
    <w:p>
      <w:pPr>
        <w:pStyle w:val="2"/>
        <w:spacing w:line="345" w:lineRule="auto"/>
        <w:ind w:left="268"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ascii="宋体" w:hAnsi="宋体" w:eastAsia="宋体" w:cs="宋体"/>
          <w:sz w:val="32"/>
        </w:rPr>
        <w:t>八、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“三公”经费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相关信息统计表</w:t>
      </w:r>
    </w:p>
    <w:p>
      <w:pPr>
        <w:pStyle w:val="2"/>
        <w:spacing w:line="345" w:lineRule="auto"/>
      </w:pPr>
      <w:r>
        <w:rPr>
          <w:sz w:val="32"/>
        </w:rPr>
        <w:t xml:space="preserve">第三部分  2017年度部门决算情况和有关事项说明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20" w:leftChars="100" w:firstLine="627" w:firstLineChars="196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 w:bidi="ar"/>
        </w:rPr>
        <w:t>一、预算执行情况分析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20" w:leftChars="100" w:firstLine="627" w:firstLineChars="196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 w:bidi="ar"/>
        </w:rPr>
        <w:t>二、机关运行经费执行情况说明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 w:bidi="ar"/>
        </w:rPr>
        <w:t>三、国有资产占用情况说明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960" w:firstLineChars="300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 w:bidi="ar"/>
        </w:rPr>
        <w:t>四、"三公"经费增减变化原因及情况说明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960" w:firstLineChars="300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 w:bidi="ar"/>
        </w:rPr>
        <w:t>五、政府采购支出情况说明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960" w:firstLineChars="300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 w:bidi="ar"/>
        </w:rPr>
        <w:t>六、预算绩效管理情况说明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ascii="黑体" w:hAnsi="黑体" w:eastAsia="黑体" w:cs="黑体"/>
        </w:rPr>
        <w:t xml:space="preserve">第四部分  名词解释 </w:t>
      </w:r>
    </w:p>
    <w:p>
      <w:pPr>
        <w:spacing w:after="94" w:line="259" w:lineRule="auto"/>
        <w:ind w:left="0" w:firstLine="0"/>
      </w:pPr>
      <w:r>
        <w:rPr>
          <w:rFonts w:ascii="黑体" w:hAnsi="黑体" w:eastAsia="黑体" w:cs="黑体"/>
          <w:sz w:val="36"/>
        </w:rPr>
        <w:t xml:space="preserve"> </w:t>
      </w:r>
    </w:p>
    <w:p>
      <w:pPr>
        <w:spacing w:after="94" w:line="259" w:lineRule="auto"/>
        <w:ind w:left="0" w:firstLine="0"/>
      </w:pPr>
      <w:r>
        <w:rPr>
          <w:rFonts w:ascii="黑体" w:hAnsi="黑体" w:eastAsia="黑体" w:cs="黑体"/>
          <w:sz w:val="36"/>
        </w:rPr>
        <w:t xml:space="preserve"> </w:t>
      </w:r>
    </w:p>
    <w:p>
      <w:pPr>
        <w:spacing w:after="94" w:line="259" w:lineRule="auto"/>
        <w:ind w:left="0" w:firstLine="0"/>
        <w:rPr>
          <w:rFonts w:ascii="黑体" w:hAnsi="黑体" w:eastAsia="黑体" w:cs="黑体"/>
          <w:sz w:val="52"/>
        </w:rPr>
      </w:pPr>
    </w:p>
    <w:p>
      <w:pPr>
        <w:spacing w:after="94" w:line="259" w:lineRule="auto"/>
        <w:ind w:left="0" w:firstLine="0"/>
        <w:rPr>
          <w:rFonts w:ascii="黑体" w:hAnsi="黑体" w:eastAsia="黑体" w:cs="黑体"/>
          <w:sz w:val="52"/>
        </w:rPr>
      </w:pPr>
    </w:p>
    <w:p>
      <w:pPr>
        <w:spacing w:after="94" w:line="259" w:lineRule="auto"/>
        <w:ind w:left="0" w:firstLine="0"/>
        <w:rPr>
          <w:rFonts w:ascii="黑体" w:hAnsi="黑体" w:eastAsia="黑体" w:cs="黑体"/>
          <w:sz w:val="52"/>
        </w:rPr>
      </w:pPr>
    </w:p>
    <w:p>
      <w:pPr>
        <w:spacing w:after="94" w:line="259" w:lineRule="auto"/>
        <w:ind w:left="0" w:firstLine="0"/>
        <w:rPr>
          <w:rFonts w:ascii="黑体" w:hAnsi="黑体" w:eastAsia="黑体" w:cs="黑体"/>
          <w:sz w:val="52"/>
        </w:rPr>
      </w:pPr>
    </w:p>
    <w:p>
      <w:pPr>
        <w:spacing w:after="94" w:line="259" w:lineRule="auto"/>
        <w:ind w:left="0" w:firstLine="0"/>
        <w:rPr>
          <w:rFonts w:ascii="黑体" w:hAnsi="黑体" w:eastAsia="黑体" w:cs="黑体"/>
          <w:sz w:val="52"/>
        </w:rPr>
      </w:pPr>
    </w:p>
    <w:p>
      <w:pPr>
        <w:spacing w:after="94" w:line="259" w:lineRule="auto"/>
        <w:ind w:left="0" w:firstLine="0"/>
        <w:rPr>
          <w:rFonts w:ascii="黑体" w:hAnsi="黑体" w:eastAsia="黑体" w:cs="黑体"/>
          <w:sz w:val="52"/>
        </w:rPr>
      </w:pPr>
    </w:p>
    <w:p>
      <w:pPr>
        <w:spacing w:after="94" w:line="259" w:lineRule="auto"/>
        <w:ind w:left="0" w:firstLine="0"/>
        <w:rPr>
          <w:rFonts w:ascii="黑体" w:hAnsi="黑体" w:eastAsia="黑体" w:cs="黑体"/>
          <w:sz w:val="52"/>
        </w:rPr>
      </w:pPr>
    </w:p>
    <w:p>
      <w:pPr>
        <w:spacing w:after="94" w:line="259" w:lineRule="auto"/>
        <w:ind w:left="0" w:firstLine="0"/>
        <w:rPr>
          <w:rFonts w:ascii="黑体" w:hAnsi="黑体" w:eastAsia="黑体" w:cs="黑体"/>
          <w:sz w:val="52"/>
        </w:rPr>
      </w:pPr>
    </w:p>
    <w:p>
      <w:pPr>
        <w:spacing w:after="94" w:line="259" w:lineRule="auto"/>
        <w:ind w:left="0" w:firstLine="0"/>
        <w:rPr>
          <w:rFonts w:ascii="黑体" w:hAnsi="黑体" w:eastAsia="黑体" w:cs="黑体"/>
          <w:sz w:val="52"/>
        </w:rPr>
      </w:pPr>
    </w:p>
    <w:p>
      <w:pPr>
        <w:spacing w:after="94" w:line="259" w:lineRule="auto"/>
        <w:ind w:left="0" w:firstLine="0"/>
        <w:rPr>
          <w:rFonts w:ascii="黑体" w:hAnsi="黑体" w:eastAsia="黑体" w:cs="黑体"/>
          <w:sz w:val="52"/>
        </w:rPr>
      </w:pPr>
    </w:p>
    <w:p>
      <w:pPr>
        <w:spacing w:after="94" w:line="259" w:lineRule="auto"/>
        <w:ind w:left="0" w:firstLine="0"/>
        <w:rPr>
          <w:rFonts w:ascii="黑体" w:hAnsi="黑体" w:eastAsia="黑体" w:cs="黑体"/>
          <w:sz w:val="52"/>
        </w:rPr>
      </w:pPr>
    </w:p>
    <w:p>
      <w:pPr>
        <w:spacing w:after="94" w:line="259" w:lineRule="auto"/>
        <w:ind w:left="0" w:firstLine="0"/>
        <w:rPr>
          <w:rFonts w:ascii="黑体" w:hAnsi="黑体" w:eastAsia="黑体" w:cs="黑体"/>
          <w:sz w:val="52"/>
        </w:rPr>
      </w:pPr>
    </w:p>
    <w:p>
      <w:pPr>
        <w:spacing w:after="94" w:line="259" w:lineRule="auto"/>
        <w:ind w:left="0" w:firstLine="0"/>
        <w:rPr>
          <w:rFonts w:ascii="黑体" w:hAnsi="黑体" w:eastAsia="黑体" w:cs="黑体"/>
          <w:sz w:val="52"/>
        </w:rPr>
      </w:pPr>
    </w:p>
    <w:p>
      <w:pPr>
        <w:spacing w:after="94" w:line="259" w:lineRule="auto"/>
        <w:ind w:left="0" w:firstLine="0"/>
        <w:rPr>
          <w:rFonts w:ascii="黑体" w:hAnsi="黑体" w:eastAsia="黑体" w:cs="黑体"/>
          <w:sz w:val="52"/>
        </w:rPr>
      </w:pPr>
    </w:p>
    <w:p>
      <w:pPr>
        <w:spacing w:after="0" w:line="259" w:lineRule="auto"/>
        <w:ind w:left="-5"/>
        <w:rPr>
          <w:rFonts w:ascii="黑体" w:hAnsi="黑体" w:eastAsia="黑体" w:cs="黑体"/>
          <w:sz w:val="52"/>
        </w:rPr>
      </w:pPr>
    </w:p>
    <w:p>
      <w:pPr>
        <w:spacing w:after="0" w:line="259" w:lineRule="auto"/>
        <w:ind w:left="-5"/>
      </w:pPr>
      <w:r>
        <w:rPr>
          <w:rFonts w:ascii="黑体" w:hAnsi="黑体" w:eastAsia="黑体" w:cs="黑体"/>
          <w:sz w:val="52"/>
        </w:rPr>
        <w:t xml:space="preserve">第一部分 </w:t>
      </w:r>
    </w:p>
    <w:p>
      <w:pPr>
        <w:spacing w:after="94" w:line="259" w:lineRule="auto"/>
        <w:ind w:left="0" w:firstLine="0"/>
      </w:pPr>
      <w:r>
        <w:rPr>
          <w:rFonts w:ascii="黑体" w:hAnsi="黑体" w:eastAsia="黑体" w:cs="黑体"/>
          <w:sz w:val="36"/>
        </w:rPr>
        <w:t xml:space="preserve"> </w:t>
      </w:r>
    </w:p>
    <w:p>
      <w:pPr>
        <w:spacing w:after="94" w:line="259" w:lineRule="auto"/>
        <w:ind w:left="0" w:firstLine="0"/>
      </w:pPr>
      <w:r>
        <w:rPr>
          <w:rFonts w:ascii="黑体" w:hAnsi="黑体" w:eastAsia="黑体" w:cs="黑体"/>
          <w:sz w:val="36"/>
        </w:rPr>
        <w:t xml:space="preserve"> </w:t>
      </w:r>
    </w:p>
    <w:p>
      <w:pPr>
        <w:spacing w:after="94" w:line="259" w:lineRule="auto"/>
        <w:ind w:left="0" w:firstLine="0"/>
      </w:pPr>
      <w:r>
        <w:rPr>
          <w:rFonts w:ascii="黑体" w:hAnsi="黑体" w:eastAsia="黑体" w:cs="黑体"/>
          <w:sz w:val="36"/>
        </w:rPr>
        <w:t xml:space="preserve"> </w:t>
      </w:r>
    </w:p>
    <w:p>
      <w:pPr>
        <w:spacing w:after="136" w:line="259" w:lineRule="auto"/>
        <w:ind w:left="0" w:firstLine="0"/>
      </w:pPr>
      <w:r>
        <w:rPr>
          <w:rFonts w:ascii="黑体" w:hAnsi="黑体" w:eastAsia="黑体" w:cs="黑体"/>
          <w:sz w:val="36"/>
        </w:rPr>
        <w:t xml:space="preserve"> </w:t>
      </w:r>
    </w:p>
    <w:p>
      <w:pPr>
        <w:pStyle w:val="2"/>
        <w:ind w:right="4124"/>
        <w:jc w:val="right"/>
      </w:pPr>
      <w:r>
        <w:t xml:space="preserve">概况 </w:t>
      </w:r>
    </w:p>
    <w:p>
      <w:pPr>
        <w:spacing w:after="0" w:line="259" w:lineRule="auto"/>
        <w:ind w:left="0" w:firstLine="0"/>
      </w:pPr>
      <w:r>
        <w:rPr>
          <w:rFonts w:ascii="黑体" w:hAnsi="黑体" w:eastAsia="黑体" w:cs="黑体"/>
          <w:sz w:val="36"/>
        </w:rPr>
        <w:t xml:space="preserve"> </w:t>
      </w:r>
      <w:r>
        <w:br w:type="page"/>
      </w:r>
    </w:p>
    <w:p>
      <w:pPr>
        <w:pStyle w:val="3"/>
        <w:ind w:left="718"/>
      </w:pPr>
      <w:r>
        <w:rPr>
          <w:rFonts w:ascii="黑体" w:hAnsi="黑体" w:eastAsia="黑体" w:cs="黑体"/>
        </w:rPr>
        <w:t xml:space="preserve">一、部门职责 </w:t>
      </w:r>
    </w:p>
    <w:p>
      <w:pPr>
        <w:numPr>
          <w:ilvl w:val="0"/>
          <w:numId w:val="0"/>
        </w:numPr>
        <w:spacing w:after="170" w:line="259" w:lineRule="auto"/>
        <w:ind w:left="720" w:leftChars="0" w:firstLine="720" w:firstLineChars="200"/>
      </w:pP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为人民身体健康提供医疗与护理保健服务。医疗与护理、医学教学、医学研究、卫生医疗人员培训、卫生技术人员继续教育、保健、交通创伤急救。</w:t>
      </w:r>
    </w:p>
    <w:p>
      <w:pPr>
        <w:spacing w:after="0" w:line="259" w:lineRule="auto"/>
        <w:ind w:left="640" w:firstLine="0"/>
      </w:pPr>
      <w:r>
        <w:t xml:space="preserve"> </w:t>
      </w:r>
    </w:p>
    <w:p>
      <w:pPr>
        <w:pStyle w:val="3"/>
        <w:ind w:left="650"/>
      </w:pPr>
      <w:r>
        <w:rPr>
          <w:rFonts w:ascii="黑体" w:hAnsi="黑体" w:eastAsia="黑体" w:cs="黑体"/>
        </w:rPr>
        <w:t xml:space="preserve">二、机构设置 </w:t>
      </w:r>
    </w:p>
    <w:p>
      <w:pPr>
        <w:spacing w:line="259" w:lineRule="auto"/>
        <w:ind w:left="925" w:leftChars="289" w:firstLine="345" w:firstLineChars="96"/>
      </w:pP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菏泽市第二人民医院201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7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年度部门决算无下属单位，本部门决算为菏泽市第二人民医院决算。</w:t>
      </w:r>
      <w:r>
        <w:br w:type="page"/>
      </w:r>
    </w:p>
    <w:p>
      <w:pPr>
        <w:spacing w:after="136" w:line="259" w:lineRule="auto"/>
        <w:ind w:left="0" w:firstLine="0"/>
      </w:pPr>
      <w:r>
        <w:rPr>
          <w:rFonts w:ascii="黑体" w:hAnsi="黑体" w:eastAsia="黑体" w:cs="黑体"/>
          <w:sz w:val="36"/>
        </w:rPr>
        <w:t xml:space="preserve"> </w:t>
      </w:r>
    </w:p>
    <w:p>
      <w:pPr>
        <w:spacing w:after="0" w:line="259" w:lineRule="auto"/>
        <w:ind w:left="-5"/>
      </w:pPr>
      <w:r>
        <w:rPr>
          <w:rFonts w:ascii="黑体" w:hAnsi="黑体" w:eastAsia="黑体" w:cs="黑体"/>
          <w:sz w:val="52"/>
        </w:rPr>
        <w:t xml:space="preserve">第二部分 </w:t>
      </w:r>
    </w:p>
    <w:p>
      <w:pPr>
        <w:spacing w:after="94" w:line="259" w:lineRule="auto"/>
        <w:ind w:left="0" w:firstLine="0"/>
      </w:pPr>
      <w:r>
        <w:rPr>
          <w:rFonts w:ascii="黑体" w:hAnsi="黑体" w:eastAsia="黑体" w:cs="黑体"/>
          <w:sz w:val="36"/>
        </w:rPr>
        <w:t xml:space="preserve"> </w:t>
      </w:r>
    </w:p>
    <w:p>
      <w:pPr>
        <w:spacing w:after="94" w:line="259" w:lineRule="auto"/>
        <w:ind w:left="0" w:firstLine="0"/>
      </w:pPr>
      <w:r>
        <w:rPr>
          <w:rFonts w:ascii="黑体" w:hAnsi="黑体" w:eastAsia="黑体" w:cs="黑体"/>
          <w:sz w:val="36"/>
        </w:rPr>
        <w:t xml:space="preserve"> </w:t>
      </w:r>
    </w:p>
    <w:p>
      <w:pPr>
        <w:spacing w:after="94" w:line="259" w:lineRule="auto"/>
        <w:ind w:left="0" w:firstLine="0"/>
      </w:pPr>
      <w:r>
        <w:rPr>
          <w:rFonts w:ascii="黑体" w:hAnsi="黑体" w:eastAsia="黑体" w:cs="黑体"/>
          <w:sz w:val="36"/>
        </w:rPr>
        <w:t xml:space="preserve"> </w:t>
      </w:r>
    </w:p>
    <w:p>
      <w:pPr>
        <w:spacing w:after="136" w:line="259" w:lineRule="auto"/>
        <w:ind w:left="0" w:firstLine="0"/>
      </w:pPr>
      <w:r>
        <w:rPr>
          <w:rFonts w:ascii="黑体" w:hAnsi="黑体" w:eastAsia="黑体" w:cs="黑体"/>
          <w:sz w:val="36"/>
        </w:rPr>
        <w:t xml:space="preserve"> </w:t>
      </w:r>
    </w:p>
    <w:p>
      <w:pPr>
        <w:pStyle w:val="2"/>
        <w:ind w:right="2224"/>
        <w:jc w:val="right"/>
      </w:pPr>
      <w:r>
        <w:t xml:space="preserve">2017年度部门决算表 </w:t>
      </w:r>
    </w:p>
    <w:p>
      <w:pPr>
        <w:spacing w:after="0" w:line="259" w:lineRule="auto"/>
        <w:ind w:left="0" w:firstLine="0"/>
      </w:pPr>
      <w:r>
        <w:rPr>
          <w:rFonts w:ascii="黑体" w:hAnsi="黑体" w:eastAsia="黑体" w:cs="黑体"/>
          <w:sz w:val="30"/>
        </w:rPr>
        <w:t xml:space="preserve"> </w:t>
      </w:r>
      <w:r>
        <w:br w:type="page"/>
      </w:r>
    </w:p>
    <w:p>
      <w:pPr>
        <w:pStyle w:val="3"/>
        <w:spacing w:after="0"/>
        <w:ind w:left="3199" w:right="3363" w:hanging="3199"/>
      </w:pPr>
      <w:r>
        <w:rPr>
          <w:rFonts w:ascii="仿宋" w:hAnsi="仿宋" w:eastAsia="仿宋" w:cs="仿宋"/>
          <w:sz w:val="30"/>
        </w:rPr>
        <w:t xml:space="preserve"> </w:t>
      </w:r>
      <w:r>
        <w:rPr>
          <w:rFonts w:ascii="黑体" w:hAnsi="黑体" w:eastAsia="黑体" w:cs="黑体"/>
        </w:rPr>
        <w:t xml:space="preserve">收入支出决算总表 </w:t>
      </w:r>
    </w:p>
    <w:p>
      <w:pPr>
        <w:spacing w:after="0" w:line="259" w:lineRule="auto"/>
        <w:ind w:left="0" w:right="61" w:firstLine="0"/>
        <w:jc w:val="center"/>
      </w:pPr>
      <w:r>
        <w:rPr>
          <w:sz w:val="21"/>
        </w:rPr>
        <w:t xml:space="preserve"> </w:t>
      </w:r>
    </w:p>
    <w:p>
      <w:pPr>
        <w:spacing w:line="267" w:lineRule="auto"/>
        <w:ind w:left="-15" w:firstLine="281"/>
        <w:rPr>
          <w:sz w:val="21"/>
        </w:rPr>
      </w:pPr>
      <w:r>
        <w:rPr>
          <w:sz w:val="21"/>
        </w:rPr>
        <w:t xml:space="preserve">                                                                       公开01表</w:t>
      </w:r>
    </w:p>
    <w:p>
      <w:pPr>
        <w:spacing w:line="267" w:lineRule="auto"/>
        <w:ind w:left="-15" w:firstLine="281"/>
        <w:rPr>
          <w:vertAlign w:val="subscript"/>
        </w:rPr>
      </w:pPr>
      <w:r>
        <w:rPr>
          <w:rFonts w:hint="eastAsia"/>
          <w:sz w:val="21"/>
          <w:lang w:eastAsia="zh-CN"/>
        </w:rPr>
        <w:t>部门：菏泽市第二人民医院</w:t>
      </w:r>
      <w:r>
        <w:rPr>
          <w:sz w:val="21"/>
        </w:rPr>
        <w:t xml:space="preserve"> </w:t>
      </w:r>
      <w:r>
        <w:rPr>
          <w:rFonts w:ascii="宋体" w:hAnsi="宋体" w:eastAsia="宋体" w:cs="宋体"/>
          <w:sz w:val="36"/>
        </w:rPr>
        <w:t xml:space="preserve">              </w:t>
      </w:r>
      <w:r>
        <w:rPr>
          <w:sz w:val="36"/>
        </w:rPr>
        <w:t xml:space="preserve">          </w:t>
      </w:r>
      <w:r>
        <w:rPr>
          <w:rFonts w:hint="eastAsia"/>
          <w:sz w:val="36"/>
          <w:lang w:val="en-US" w:eastAsia="zh-CN"/>
        </w:rPr>
        <w:t xml:space="preserve"> </w:t>
      </w:r>
      <w:r>
        <w:rPr>
          <w:sz w:val="36"/>
        </w:rPr>
        <w:t xml:space="preserve"> </w:t>
      </w:r>
      <w:r>
        <w:rPr>
          <w:vertAlign w:val="subscript"/>
        </w:rPr>
        <w:t>金额单位：</w:t>
      </w:r>
      <w:r>
        <w:rPr>
          <w:rFonts w:hint="eastAsia"/>
          <w:vertAlign w:val="subscript"/>
          <w:lang w:val="en-US" w:eastAsia="zh-CN"/>
        </w:rPr>
        <w:t>万</w:t>
      </w:r>
      <w:r>
        <w:rPr>
          <w:vertAlign w:val="subscript"/>
        </w:rPr>
        <w:t>元</w:t>
      </w:r>
    </w:p>
    <w:p>
      <w:pPr>
        <w:spacing w:line="267" w:lineRule="auto"/>
        <w:ind w:left="-15" w:firstLine="281"/>
        <w:rPr>
          <w:vertAlign w:val="subscript"/>
        </w:rPr>
      </w:pPr>
      <w:r>
        <w:rPr>
          <w:vertAlign w:val="subscript"/>
        </w:rPr>
        <w:t xml:space="preserve"> </w:t>
      </w:r>
    </w:p>
    <w:tbl>
      <w:tblPr>
        <w:tblStyle w:val="8"/>
        <w:tblW w:w="97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1"/>
        <w:gridCol w:w="467"/>
        <w:gridCol w:w="1870"/>
        <w:gridCol w:w="2925"/>
        <w:gridCol w:w="635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    入</w:t>
            </w:r>
          </w:p>
        </w:tc>
        <w:tc>
          <w:tcPr>
            <w:tcW w:w="4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    次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    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一、财政拨款收入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 xml:space="preserve"> 其中：政府性基金预算财政拨款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13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二、上级补助收入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13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三、事业收入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16328.53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四、经营收入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五、附属单位上缴收入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六、其他收入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144.71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九、医疗卫生与计划生育支出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16658.24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16658.24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16658.24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结余分配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其中：提取职工福利基金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其中：项目支出结转和结余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转入事业基金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年末结转和结余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其中：项目支出结转和结余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16658.24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16658.24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3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注：1.本表依据《收入支出决算总表》（财决01</w:t>
            </w:r>
            <w:r>
              <w:rPr>
                <w:rStyle w:val="13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表）进行批复。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3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Style w:val="13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2.本表含政府性基金预算财政拨款。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13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Style w:val="13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3.本表以“万元”为金额单位（保留两位小数）。</w:t>
            </w:r>
          </w:p>
        </w:tc>
      </w:tr>
    </w:tbl>
    <w:p>
      <w:pPr>
        <w:spacing w:line="267" w:lineRule="auto"/>
        <w:ind w:left="-15" w:firstLine="281"/>
        <w:rPr>
          <w:vertAlign w:val="subscript"/>
        </w:rPr>
      </w:pPr>
    </w:p>
    <w:p>
      <w:pPr>
        <w:spacing w:line="267" w:lineRule="auto"/>
        <w:rPr>
          <w:vertAlign w:val="subscript"/>
        </w:rPr>
      </w:pPr>
    </w:p>
    <w:p>
      <w:pPr>
        <w:sectPr>
          <w:footerReference r:id="rId5" w:type="first"/>
          <w:footerReference r:id="rId3" w:type="default"/>
          <w:footerReference r:id="rId4" w:type="even"/>
          <w:pgSz w:w="11904" w:h="16840"/>
          <w:pgMar w:top="1745" w:right="1308" w:bottom="2198" w:left="1474" w:header="720" w:footer="720" w:gutter="0"/>
          <w:cols w:space="720" w:num="1"/>
          <w:titlePg/>
        </w:sectPr>
      </w:pPr>
    </w:p>
    <w:p>
      <w:pPr>
        <w:spacing w:after="0" w:line="259" w:lineRule="auto"/>
        <w:ind w:right="105"/>
        <w:jc w:val="center"/>
      </w:pPr>
      <w:r>
        <w:rPr>
          <w:rFonts w:ascii="黑体" w:hAnsi="黑体" w:eastAsia="黑体" w:cs="黑体"/>
        </w:rPr>
        <w:t xml:space="preserve">收入决算表 </w:t>
      </w:r>
    </w:p>
    <w:p>
      <w:pPr>
        <w:spacing w:line="267" w:lineRule="auto"/>
        <w:ind w:left="-5"/>
        <w:rPr>
          <w:sz w:val="21"/>
        </w:rPr>
      </w:pPr>
      <w:r>
        <w:rPr>
          <w:sz w:val="30"/>
        </w:rPr>
        <w:t xml:space="preserve">                                                                                  </w:t>
      </w:r>
      <w:r>
        <w:rPr>
          <w:sz w:val="30"/>
          <w:vertAlign w:val="subscript"/>
        </w:rPr>
        <w:t xml:space="preserve">     </w:t>
      </w:r>
      <w:r>
        <w:rPr>
          <w:rFonts w:hint="eastAsia"/>
          <w:sz w:val="30"/>
          <w:vertAlign w:val="subscript"/>
          <w:lang w:val="en-US" w:eastAsia="zh-CN"/>
        </w:rPr>
        <w:t xml:space="preserve">      </w:t>
      </w:r>
      <w:r>
        <w:rPr>
          <w:sz w:val="30"/>
          <w:vertAlign w:val="subscript"/>
        </w:rPr>
        <w:t xml:space="preserve">公开02表 </w:t>
      </w:r>
      <w:r>
        <w:rPr>
          <w:sz w:val="21"/>
        </w:rPr>
        <w:t xml:space="preserve"> </w:t>
      </w:r>
    </w:p>
    <w:p>
      <w:pPr>
        <w:spacing w:line="267" w:lineRule="auto"/>
        <w:ind w:left="-5"/>
        <w:rPr>
          <w:rFonts w:hint="eastAsia" w:ascii="仿宋" w:hAnsi="仿宋" w:eastAsia="仿宋" w:cs="仿宋"/>
          <w:sz w:val="18"/>
          <w:szCs w:val="18"/>
        </w:rPr>
      </w:pPr>
      <w:r>
        <w:rPr>
          <w:sz w:val="21"/>
        </w:rPr>
        <w:t>部门</w:t>
      </w:r>
      <w:r>
        <w:rPr>
          <w:rFonts w:hint="eastAsia" w:ascii="仿宋" w:hAnsi="仿宋" w:eastAsia="仿宋" w:cs="仿宋"/>
          <w:sz w:val="18"/>
          <w:szCs w:val="18"/>
        </w:rPr>
        <w:t>: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菏泽市第二人民医院</w:t>
      </w:r>
      <w:r>
        <w:rPr>
          <w:rFonts w:hint="eastAsia" w:ascii="仿宋" w:hAnsi="仿宋" w:eastAsia="仿宋" w:cs="仿宋"/>
          <w:sz w:val="18"/>
          <w:szCs w:val="18"/>
        </w:rPr>
        <w:t xml:space="preserve">                                                                   </w:t>
      </w:r>
      <w:r>
        <w:rPr>
          <w:rFonts w:hint="eastAsia" w:cs="仿宋"/>
          <w:sz w:val="18"/>
          <w:szCs w:val="18"/>
          <w:lang w:val="en-US" w:eastAsia="zh-CN"/>
        </w:rPr>
        <w:t xml:space="preserve">                                                  </w:t>
      </w:r>
      <w:r>
        <w:rPr>
          <w:rFonts w:hint="eastAsia" w:ascii="仿宋" w:hAnsi="仿宋" w:eastAsia="仿宋" w:cs="仿宋"/>
          <w:sz w:val="18"/>
          <w:szCs w:val="18"/>
        </w:rPr>
        <w:t>金额单位：万元</w:t>
      </w:r>
    </w:p>
    <w:tbl>
      <w:tblPr>
        <w:tblStyle w:val="8"/>
        <w:tblW w:w="14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"/>
        <w:gridCol w:w="1080"/>
        <w:gridCol w:w="1080"/>
        <w:gridCol w:w="3525"/>
        <w:gridCol w:w="1616"/>
        <w:gridCol w:w="2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财政拨款收入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附属单位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上缴收入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栏次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16658.24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16328.53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144.71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16658.24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16328.53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144.71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16633.24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16328.53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144.71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综合医院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16633.24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16328.53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144.71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21099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其他医疗卫生与计划生育支出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2109901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其他医疗卫生与计划生育支出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6500" w:type="dxa"/>
          <w:trHeight w:val="345" w:hRule="atLeast"/>
        </w:trPr>
        <w:tc>
          <w:tcPr>
            <w:tcW w:w="7735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注：1.本表依据《收入决算表》（财决0</w:t>
            </w:r>
            <w:r>
              <w:rPr>
                <w:rStyle w:val="14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3表）进行批复。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6500" w:type="dxa"/>
          <w:trHeight w:val="345" w:hRule="atLeast"/>
        </w:trPr>
        <w:tc>
          <w:tcPr>
            <w:tcW w:w="7735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Style w:val="14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2.本表含政府性基金预算财政拨款。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6500" w:type="dxa"/>
          <w:trHeight w:val="345" w:hRule="atLeast"/>
        </w:trPr>
        <w:tc>
          <w:tcPr>
            <w:tcW w:w="7735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</w:t>
            </w:r>
            <w:r>
              <w:rPr>
                <w:rStyle w:val="14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.本表批复到项级科目。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6500" w:type="dxa"/>
          <w:trHeight w:val="345" w:hRule="atLeast"/>
        </w:trPr>
        <w:tc>
          <w:tcPr>
            <w:tcW w:w="7735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Style w:val="14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4.本表以“万元”为金额单位（保留两位小数）。</w:t>
            </w:r>
          </w:p>
        </w:tc>
      </w:tr>
    </w:tbl>
    <w:p>
      <w:pPr>
        <w:spacing w:line="267" w:lineRule="auto"/>
        <w:rPr>
          <w:sz w:val="21"/>
        </w:rPr>
      </w:pPr>
    </w:p>
    <w:p>
      <w:pPr>
        <w:spacing w:after="0" w:line="259" w:lineRule="auto"/>
        <w:ind w:left="0" w:leftChars="0" w:right="105" w:firstLine="0" w:firstLineChars="0"/>
        <w:jc w:val="both"/>
        <w:rPr>
          <w:rFonts w:ascii="黑体" w:hAnsi="黑体" w:eastAsia="黑体" w:cs="黑体"/>
        </w:rPr>
      </w:pPr>
    </w:p>
    <w:p>
      <w:pPr>
        <w:spacing w:after="0" w:line="259" w:lineRule="auto"/>
        <w:ind w:left="0" w:leftChars="0" w:right="105" w:firstLine="0" w:firstLineChars="0"/>
        <w:jc w:val="center"/>
      </w:pPr>
      <w:r>
        <w:rPr>
          <w:rFonts w:ascii="黑体" w:hAnsi="黑体" w:eastAsia="黑体" w:cs="黑体"/>
        </w:rPr>
        <w:t>支出决算表</w:t>
      </w:r>
    </w:p>
    <w:p>
      <w:pPr>
        <w:spacing w:line="267" w:lineRule="auto"/>
        <w:ind w:left="-5"/>
      </w:pPr>
      <w:r>
        <w:rPr>
          <w:sz w:val="21"/>
        </w:rPr>
        <w:t xml:space="preserve">                                                                                                                          公开03表 </w:t>
      </w:r>
    </w:p>
    <w:p>
      <w:pPr>
        <w:spacing w:line="267" w:lineRule="auto"/>
        <w:ind w:left="-5"/>
        <w:rPr>
          <w:sz w:val="21"/>
        </w:rPr>
      </w:pPr>
      <w:r>
        <w:rPr>
          <w:sz w:val="21"/>
        </w:rPr>
        <w:t>部门：</w:t>
      </w:r>
      <w:r>
        <w:rPr>
          <w:rFonts w:hint="eastAsia"/>
          <w:sz w:val="21"/>
          <w:lang w:eastAsia="zh-CN"/>
        </w:rPr>
        <w:t>菏泽市第二人民医院</w:t>
      </w:r>
      <w:r>
        <w:rPr>
          <w:sz w:val="21"/>
        </w:rPr>
        <w:t xml:space="preserve">                                                                                              金额单位：万元</w:t>
      </w:r>
    </w:p>
    <w:tbl>
      <w:tblPr>
        <w:tblStyle w:val="8"/>
        <w:tblW w:w="13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1051"/>
        <w:gridCol w:w="1051"/>
        <w:gridCol w:w="3417"/>
        <w:gridCol w:w="1839"/>
        <w:gridCol w:w="1069"/>
        <w:gridCol w:w="1052"/>
        <w:gridCol w:w="1052"/>
        <w:gridCol w:w="1052"/>
        <w:gridCol w:w="1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经营支出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对附属单位补助支出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栏次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16658.24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16658.24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16658.24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16658.24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16633.24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16633.24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综合医院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16633.24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16633.24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21099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其他医疗卫生与计划生育支出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2109901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其他医疗卫生与计划生育支出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95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注：1.本表依据《支出决算表》（财决04表）进行批复。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95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2.本表含政府性基金预算财政拨款。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95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3.本表批复到项级科目。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395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4.本表以“万元”为金额单位（保留两位小数）。</w:t>
            </w:r>
          </w:p>
        </w:tc>
      </w:tr>
    </w:tbl>
    <w:p>
      <w:pPr>
        <w:spacing w:after="0" w:line="259" w:lineRule="auto"/>
        <w:ind w:left="0" w:leftChars="0" w:right="106" w:firstLine="0" w:firstLineChars="0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left="0" w:leftChars="0" w:right="106" w:firstLine="0" w:firstLineChars="0"/>
        <w:jc w:val="center"/>
      </w:pPr>
      <w:bookmarkStart w:id="0" w:name="_GoBack"/>
      <w:bookmarkEnd w:id="0"/>
      <w:r>
        <w:rPr>
          <w:rFonts w:ascii="黑体" w:hAnsi="黑体" w:eastAsia="黑体" w:cs="黑体"/>
        </w:rPr>
        <w:t>财政拨款收入支出决算总表</w:t>
      </w:r>
    </w:p>
    <w:p>
      <w:pPr>
        <w:spacing w:line="267" w:lineRule="auto"/>
        <w:ind w:left="-15" w:firstLine="161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公开04表</w:t>
      </w:r>
    </w:p>
    <w:p>
      <w:pPr>
        <w:spacing w:line="267" w:lineRule="auto"/>
        <w:ind w:left="-15" w:firstLine="161"/>
        <w:rPr>
          <w:sz w:val="21"/>
        </w:rPr>
      </w:pPr>
      <w:r>
        <w:rPr>
          <w:sz w:val="21"/>
        </w:rPr>
        <w:t>部门：</w:t>
      </w:r>
      <w:r>
        <w:rPr>
          <w:rFonts w:hint="eastAsia"/>
          <w:sz w:val="21"/>
          <w:lang w:eastAsia="zh-CN"/>
        </w:rPr>
        <w:t>菏泽市第二人民医院</w:t>
      </w:r>
      <w:r>
        <w:rPr>
          <w:sz w:val="21"/>
        </w:rPr>
        <w:t xml:space="preserve">                                                                                            金额单位：万元</w:t>
      </w:r>
    </w:p>
    <w:tbl>
      <w:tblPr>
        <w:tblStyle w:val="8"/>
        <w:tblW w:w="13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7"/>
        <w:gridCol w:w="415"/>
        <w:gridCol w:w="2519"/>
        <w:gridCol w:w="2554"/>
        <w:gridCol w:w="370"/>
        <w:gridCol w:w="1416"/>
        <w:gridCol w:w="1269"/>
        <w:gridCol w:w="2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</w:t>
            </w:r>
            <w:r>
              <w:rPr>
                <w:rStyle w:val="15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 xml:space="preserve">  入</w:t>
            </w:r>
          </w:p>
        </w:tc>
        <w:tc>
          <w:tcPr>
            <w:tcW w:w="8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  <w:r>
              <w:rPr>
                <w:rStyle w:val="15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 xml:space="preserve">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行次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行次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    次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    次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一、一般公共预算财政拨款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二、政府性基金预算财政拨款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九、医疗卫生与计划生育支出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年末结转和结余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一般公共预算财政拨款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政府性基金预算财政拨款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20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注：1.本表依据《财政拨款收入支出决算总表》（财决0</w:t>
            </w:r>
            <w:r>
              <w:rPr>
                <w:rStyle w:val="15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1-1表）进行批复。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20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Style w:val="15"/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"/>
              </w:rPr>
              <w:t>2.本表以“万元”为金额单位（保留两位小数）。</w:t>
            </w:r>
          </w:p>
        </w:tc>
      </w:tr>
    </w:tbl>
    <w:p>
      <w:pPr>
        <w:spacing w:line="267" w:lineRule="auto"/>
        <w:ind w:left="-15" w:firstLine="161"/>
        <w:rPr>
          <w:sz w:val="21"/>
        </w:rPr>
      </w:pPr>
    </w:p>
    <w:p>
      <w:pPr>
        <w:spacing w:line="267" w:lineRule="auto"/>
        <w:rPr>
          <w:sz w:val="21"/>
        </w:rPr>
      </w:pPr>
    </w:p>
    <w:p>
      <w:pPr>
        <w:spacing w:line="267" w:lineRule="auto"/>
        <w:ind w:left="-15" w:firstLine="161"/>
      </w:pPr>
    </w:p>
    <w:p>
      <w:pPr>
        <w:spacing w:after="200" w:line="267" w:lineRule="auto"/>
        <w:ind w:left="-5"/>
        <w:rPr>
          <w:sz w:val="21"/>
        </w:rPr>
      </w:pPr>
    </w:p>
    <w:p>
      <w:pPr>
        <w:spacing w:after="200" w:line="267" w:lineRule="auto"/>
        <w:ind w:left="-5"/>
        <w:rPr>
          <w:sz w:val="21"/>
        </w:rPr>
      </w:pPr>
    </w:p>
    <w:p>
      <w:pPr>
        <w:spacing w:after="200" w:line="267" w:lineRule="auto"/>
        <w:ind w:left="-5"/>
        <w:rPr>
          <w:sz w:val="21"/>
        </w:rPr>
      </w:pPr>
    </w:p>
    <w:p>
      <w:pPr>
        <w:spacing w:after="200" w:line="267" w:lineRule="auto"/>
        <w:ind w:left="-5"/>
        <w:rPr>
          <w:sz w:val="21"/>
        </w:rPr>
      </w:pPr>
    </w:p>
    <w:p>
      <w:pPr>
        <w:spacing w:after="200" w:line="267" w:lineRule="auto"/>
        <w:ind w:left="-5"/>
        <w:rPr>
          <w:sz w:val="21"/>
        </w:rPr>
      </w:pPr>
    </w:p>
    <w:p>
      <w:pPr>
        <w:spacing w:after="200" w:line="267" w:lineRule="auto"/>
        <w:ind w:left="-5"/>
        <w:rPr>
          <w:sz w:val="21"/>
        </w:rPr>
      </w:pPr>
    </w:p>
    <w:p>
      <w:pPr>
        <w:spacing w:after="0" w:line="384" w:lineRule="auto"/>
        <w:ind w:left="6930" w:right="6887" w:firstLine="0"/>
        <w:jc w:val="both"/>
      </w:pPr>
      <w:r>
        <w:rPr>
          <w:sz w:val="30"/>
        </w:rPr>
        <w:t xml:space="preserve">       </w:t>
      </w:r>
    </w:p>
    <w:p>
      <w:pPr>
        <w:spacing w:after="0" w:line="259" w:lineRule="auto"/>
        <w:ind w:right="106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106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106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106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106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106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106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106"/>
        <w:jc w:val="center"/>
      </w:pPr>
      <w:r>
        <w:rPr>
          <w:rFonts w:ascii="黑体" w:hAnsi="黑体" w:eastAsia="黑体" w:cs="黑体"/>
        </w:rPr>
        <w:t>一般公共预算财政拨款</w:t>
      </w:r>
      <w:r>
        <w:rPr>
          <w:rFonts w:hint="eastAsia" w:ascii="黑体" w:hAnsi="黑体" w:eastAsia="黑体" w:cs="黑体"/>
          <w:lang w:val="en-US" w:eastAsia="zh-CN"/>
        </w:rPr>
        <w:t>收入</w:t>
      </w:r>
      <w:r>
        <w:rPr>
          <w:rFonts w:ascii="黑体" w:hAnsi="黑体" w:eastAsia="黑体" w:cs="黑体"/>
        </w:rPr>
        <w:t xml:space="preserve">决算表 </w:t>
      </w:r>
    </w:p>
    <w:p>
      <w:pPr>
        <w:spacing w:line="267" w:lineRule="auto"/>
        <w:ind w:left="-5"/>
        <w:rPr>
          <w:sz w:val="30"/>
          <w:vertAlign w:val="subscript"/>
        </w:rPr>
      </w:pPr>
      <w:r>
        <w:rPr>
          <w:rFonts w:ascii="黑体" w:hAnsi="黑体" w:eastAsia="黑体" w:cs="黑体"/>
          <w:sz w:val="30"/>
        </w:rPr>
        <w:t xml:space="preserve">                                                                                     </w:t>
      </w:r>
      <w:r>
        <w:rPr>
          <w:sz w:val="30"/>
          <w:vertAlign w:val="subscript"/>
        </w:rPr>
        <w:t>公开05表</w:t>
      </w:r>
    </w:p>
    <w:p>
      <w:pPr>
        <w:spacing w:line="267" w:lineRule="auto"/>
        <w:ind w:left="-5"/>
        <w:rPr>
          <w:sz w:val="21"/>
        </w:rPr>
      </w:pPr>
      <w:r>
        <w:rPr>
          <w:sz w:val="21"/>
        </w:rPr>
        <w:t>部门：</w:t>
      </w:r>
      <w:r>
        <w:rPr>
          <w:rFonts w:hint="eastAsia"/>
          <w:sz w:val="21"/>
          <w:lang w:val="en-US" w:eastAsia="zh-CN"/>
        </w:rPr>
        <w:t>菏泽市第二人民医院</w:t>
      </w:r>
      <w:r>
        <w:rPr>
          <w:sz w:val="21"/>
        </w:rPr>
        <w:t xml:space="preserve"> </w:t>
      </w:r>
      <w:r>
        <w:rPr>
          <w:rFonts w:ascii="黑体" w:hAnsi="黑体" w:eastAsia="黑体" w:cs="黑体"/>
          <w:sz w:val="30"/>
        </w:rPr>
        <w:t xml:space="preserve">                                                              </w:t>
      </w:r>
      <w:r>
        <w:rPr>
          <w:sz w:val="21"/>
        </w:rPr>
        <w:t>金额单位：万元</w:t>
      </w:r>
    </w:p>
    <w:tbl>
      <w:tblPr>
        <w:tblStyle w:val="8"/>
        <w:tblW w:w="15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1004"/>
        <w:gridCol w:w="404"/>
        <w:gridCol w:w="2442"/>
        <w:gridCol w:w="885"/>
        <w:gridCol w:w="870"/>
        <w:gridCol w:w="900"/>
        <w:gridCol w:w="1029"/>
        <w:gridCol w:w="906"/>
        <w:gridCol w:w="840"/>
        <w:gridCol w:w="917"/>
        <w:gridCol w:w="718"/>
        <w:gridCol w:w="765"/>
        <w:gridCol w:w="861"/>
        <w:gridCol w:w="749"/>
        <w:gridCol w:w="746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3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项目支出结转和结余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项目支出结转和结余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20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项目支出结转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2100201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综合医院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21099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其他医疗卫生与计划生育支出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2109901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其他医疗卫生与计划生育支出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75" w:type="dxa"/>
            <w:gridSpan w:val="17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注：1.本表依据《一般公共预算财政拨款收入支出决算表》（财决07表）进行批复。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75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2.本表批复到项级科目。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375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3.本表以“万元”为金额单位（保留两位小数）。</w:t>
            </w:r>
          </w:p>
        </w:tc>
      </w:tr>
    </w:tbl>
    <w:p>
      <w:pPr>
        <w:spacing w:line="267" w:lineRule="auto"/>
        <w:ind w:left="-5"/>
        <w:rPr>
          <w:rFonts w:hint="eastAsia" w:ascii="仿宋" w:hAnsi="仿宋" w:eastAsia="仿宋" w:cs="仿宋"/>
          <w:sz w:val="18"/>
          <w:szCs w:val="18"/>
        </w:rPr>
      </w:pPr>
    </w:p>
    <w:p>
      <w:pPr>
        <w:spacing w:line="267" w:lineRule="auto"/>
        <w:ind w:left="-5"/>
      </w:pPr>
    </w:p>
    <w:p>
      <w:pPr>
        <w:spacing w:after="0" w:line="259" w:lineRule="auto"/>
        <w:ind w:right="74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74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74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74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74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74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74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74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74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74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74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74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74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74"/>
        <w:jc w:val="center"/>
      </w:pPr>
      <w:r>
        <w:rPr>
          <w:rFonts w:ascii="黑体" w:hAnsi="黑体" w:eastAsia="黑体" w:cs="黑体"/>
        </w:rPr>
        <w:t xml:space="preserve">一般公共预算财政拨款基本支出决算表 </w:t>
      </w:r>
    </w:p>
    <w:p>
      <w:pPr>
        <w:spacing w:after="0" w:line="259" w:lineRule="auto"/>
        <w:ind w:left="0" w:right="84" w:firstLine="0"/>
        <w:jc w:val="right"/>
        <w:rPr>
          <w:sz w:val="21"/>
        </w:rPr>
      </w:pPr>
      <w:r>
        <w:rPr>
          <w:sz w:val="21"/>
        </w:rPr>
        <w:t>公开06表</w:t>
      </w:r>
    </w:p>
    <w:p>
      <w:pPr>
        <w:spacing w:after="0" w:line="259" w:lineRule="auto"/>
        <w:ind w:left="0" w:right="84" w:firstLine="0"/>
        <w:jc w:val="right"/>
        <w:rPr>
          <w:sz w:val="21"/>
        </w:rPr>
      </w:pPr>
      <w:r>
        <w:rPr>
          <w:sz w:val="21"/>
        </w:rPr>
        <w:t>部门：</w:t>
      </w:r>
      <w:r>
        <w:rPr>
          <w:rFonts w:hint="eastAsia"/>
          <w:sz w:val="21"/>
          <w:lang w:val="en-US" w:eastAsia="zh-CN"/>
        </w:rPr>
        <w:t>菏泽市第二人民医院</w:t>
      </w:r>
      <w:r>
        <w:rPr>
          <w:sz w:val="21"/>
        </w:rPr>
        <w:t xml:space="preserve">  </w:t>
      </w:r>
      <w:r>
        <w:rPr>
          <w:rFonts w:ascii="黑体" w:hAnsi="黑体" w:eastAsia="黑体" w:cs="黑体"/>
          <w:sz w:val="30"/>
        </w:rPr>
        <w:t xml:space="preserve">                            </w:t>
      </w:r>
      <w:r>
        <w:rPr>
          <w:sz w:val="21"/>
        </w:rPr>
        <w:t xml:space="preserve">                                                 金额单位：万元</w:t>
      </w:r>
    </w:p>
    <w:tbl>
      <w:tblPr>
        <w:tblStyle w:val="8"/>
        <w:tblW w:w="14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3224"/>
        <w:gridCol w:w="1440"/>
        <w:gridCol w:w="600"/>
        <w:gridCol w:w="2280"/>
        <w:gridCol w:w="1440"/>
        <w:gridCol w:w="600"/>
        <w:gridCol w:w="2715"/>
        <w:gridCol w:w="1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90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编码</w:t>
            </w:r>
          </w:p>
        </w:tc>
        <w:tc>
          <w:tcPr>
            <w:tcW w:w="3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编码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编码</w:t>
            </w:r>
          </w:p>
        </w:tc>
        <w:tc>
          <w:tcPr>
            <w:tcW w:w="2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145.00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其他资本性支出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印刷费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咨询费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专用设备购置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其他社会保障缴费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手续费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伙食补助费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水费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绩效工资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电费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信息网络及软件购置更新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机关事业单位基本养老保险缴费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物资储备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职业年金缴费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取暖费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土地补偿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30199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其他工资福利支出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物业管理费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安置补助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31011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地上附着物和青苗补偿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离休费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因公出国（境）费用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31012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拆迁补偿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退休费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维修(护)费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31013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退职（役）费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租赁费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31019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其他交通工具购置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抚恤金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31020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产权参股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生活补助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31099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其他资本性支出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救济费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对企事业单位的补贴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医疗费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专用材料费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30401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企业政策性补贴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助学金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被装购置费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30402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事业单位补贴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奖励金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专用燃料费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30403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财政贴息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30310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生产补贴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劳务费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30499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其他对企事业单位的补贴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30311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委托业务费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债务利息支出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30312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提租补贴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30701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国内债务付息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30313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购房补贴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30707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国外债务付息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30314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采暖补贴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30231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30315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物业服务补贴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30239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39906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赠与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30399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其他对个人和家庭的补助支出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30240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税金及附加费用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30299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人员经费合计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7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公用经费合计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34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注：1.本表依据《一般公共预算财政拨款基本支出决算明细表》（财决08-1表）进行批复。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34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2.本表以“万元”为金额单位（保留两位小数）。</w:t>
            </w:r>
          </w:p>
        </w:tc>
      </w:tr>
    </w:tbl>
    <w:p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>
      <w:pPr>
        <w:spacing w:after="0" w:line="259" w:lineRule="auto"/>
        <w:ind w:right="171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171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left="0" w:leftChars="0" w:right="171" w:firstLine="0" w:firstLineChars="0"/>
        <w:jc w:val="both"/>
        <w:rPr>
          <w:rFonts w:ascii="黑体" w:hAnsi="黑体" w:eastAsia="黑体" w:cs="黑体"/>
        </w:rPr>
      </w:pPr>
    </w:p>
    <w:p>
      <w:pPr>
        <w:spacing w:after="0" w:line="259" w:lineRule="auto"/>
        <w:ind w:right="171"/>
        <w:jc w:val="center"/>
        <w:rPr>
          <w:rFonts w:ascii="黑体" w:hAnsi="黑体" w:eastAsia="黑体" w:cs="黑体"/>
        </w:rPr>
      </w:pPr>
    </w:p>
    <w:p>
      <w:pPr>
        <w:spacing w:after="0" w:line="259" w:lineRule="auto"/>
        <w:ind w:right="171"/>
        <w:jc w:val="center"/>
      </w:pPr>
      <w:r>
        <w:rPr>
          <w:rFonts w:ascii="黑体" w:hAnsi="黑体" w:eastAsia="黑体" w:cs="黑体"/>
        </w:rPr>
        <w:t xml:space="preserve">政府性基金预算财政拨款收入支出决算表 </w:t>
      </w:r>
    </w:p>
    <w:p>
      <w:pPr>
        <w:spacing w:after="0" w:line="259" w:lineRule="auto"/>
        <w:ind w:left="0" w:right="105" w:firstLine="0"/>
        <w:jc w:val="right"/>
      </w:pPr>
      <w:r>
        <w:rPr>
          <w:rFonts w:ascii="黑体" w:hAnsi="黑体" w:eastAsia="黑体" w:cs="黑体"/>
          <w:sz w:val="30"/>
        </w:rPr>
        <w:t xml:space="preserve">                                                                        </w:t>
      </w:r>
      <w:r>
        <w:rPr>
          <w:sz w:val="30"/>
          <w:vertAlign w:val="subscript"/>
        </w:rPr>
        <w:t xml:space="preserve">公开07表 </w:t>
      </w:r>
    </w:p>
    <w:p>
      <w:pPr>
        <w:spacing w:line="267" w:lineRule="auto"/>
        <w:ind w:left="-5"/>
        <w:rPr>
          <w:sz w:val="21"/>
        </w:rPr>
      </w:pPr>
      <w:r>
        <w:rPr>
          <w:sz w:val="21"/>
        </w:rPr>
        <w:t>部门：</w:t>
      </w:r>
      <w:r>
        <w:rPr>
          <w:rFonts w:hint="eastAsia"/>
          <w:sz w:val="21"/>
          <w:lang w:val="en-US" w:eastAsia="zh-CN"/>
        </w:rPr>
        <w:t>菏泽市第二人民医院</w:t>
      </w:r>
      <w:r>
        <w:rPr>
          <w:rFonts w:ascii="黑体" w:hAnsi="黑体" w:eastAsia="黑体" w:cs="黑体"/>
          <w:sz w:val="30"/>
        </w:rPr>
        <w:t xml:space="preserve">                                                                </w:t>
      </w:r>
      <w:r>
        <w:rPr>
          <w:sz w:val="21"/>
        </w:rPr>
        <w:t xml:space="preserve">金额单位：万元 </w:t>
      </w:r>
    </w:p>
    <w:tbl>
      <w:tblPr>
        <w:tblStyle w:val="8"/>
        <w:tblW w:w="139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1059"/>
        <w:gridCol w:w="416"/>
        <w:gridCol w:w="1030"/>
        <w:gridCol w:w="562"/>
        <w:gridCol w:w="825"/>
        <w:gridCol w:w="884"/>
        <w:gridCol w:w="781"/>
        <w:gridCol w:w="796"/>
        <w:gridCol w:w="913"/>
        <w:gridCol w:w="650"/>
        <w:gridCol w:w="855"/>
        <w:gridCol w:w="767"/>
        <w:gridCol w:w="840"/>
        <w:gridCol w:w="913"/>
        <w:gridCol w:w="986"/>
        <w:gridCol w:w="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年末结转和结余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项目支出结转和结余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项目支出结转和结余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21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项目支出结转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栏次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05" w:type="dxa"/>
            <w:gridSpan w:val="17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注：1.本表依据《政府性基金预算财政拨款收入支出决算表》（财决09表）进行批复。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05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2.本表批复到项级科目。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05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3.本表以“万元”为金额单位（保留两位小数）。</w:t>
            </w:r>
          </w:p>
        </w:tc>
      </w:tr>
    </w:tbl>
    <w:p>
      <w:pPr>
        <w:spacing w:line="267" w:lineRule="auto"/>
        <w:ind w:left="-5"/>
        <w:rPr>
          <w:rFonts w:hint="eastAsia" w:ascii="仿宋" w:hAnsi="仿宋" w:eastAsia="仿宋" w:cs="仿宋"/>
          <w:sz w:val="18"/>
          <w:szCs w:val="18"/>
        </w:rPr>
      </w:pPr>
    </w:p>
    <w:p>
      <w:pPr>
        <w:spacing w:after="0" w:line="259" w:lineRule="auto"/>
        <w:ind w:left="0" w:firstLine="0"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 xml:space="preserve"> </w:t>
      </w:r>
    </w:p>
    <w:p>
      <w:pPr>
        <w:sectPr>
          <w:footerReference r:id="rId8" w:type="first"/>
          <w:footerReference r:id="rId6" w:type="default"/>
          <w:footerReference r:id="rId7" w:type="even"/>
          <w:pgSz w:w="16840" w:h="11904" w:orient="landscape"/>
          <w:pgMar w:top="1802" w:right="1433" w:bottom="1874" w:left="1440" w:header="720" w:footer="1026" w:gutter="0"/>
          <w:cols w:space="720" w:num="1"/>
        </w:sectPr>
      </w:pPr>
    </w:p>
    <w:p>
      <w:pPr>
        <w:spacing w:after="0" w:line="259" w:lineRule="auto"/>
        <w:ind w:left="904" w:firstLine="0"/>
      </w:pPr>
      <w:r>
        <w:rPr>
          <w:sz w:val="30"/>
        </w:rPr>
        <w:t xml:space="preserve"> </w:t>
      </w:r>
    </w:p>
    <w:p>
      <w:pPr>
        <w:spacing w:after="0" w:line="259" w:lineRule="auto"/>
        <w:ind w:right="228"/>
        <w:jc w:val="center"/>
      </w:pPr>
      <w:r>
        <w:rPr>
          <w:rFonts w:ascii="黑体" w:hAnsi="黑体" w:eastAsia="黑体" w:cs="黑体"/>
        </w:rPr>
        <w:t>“三公”经费</w:t>
      </w:r>
      <w:r>
        <w:rPr>
          <w:rFonts w:hint="eastAsia" w:ascii="黑体" w:hAnsi="黑体" w:eastAsia="黑体" w:cs="黑体"/>
          <w:lang w:val="en-US" w:eastAsia="zh-CN"/>
        </w:rPr>
        <w:t>相关信息统计表</w:t>
      </w:r>
      <w:r>
        <w:rPr>
          <w:rFonts w:ascii="黑体" w:hAnsi="黑体" w:eastAsia="黑体" w:cs="黑体"/>
        </w:rPr>
        <w:t xml:space="preserve"> </w:t>
      </w:r>
      <w:r>
        <w:rPr>
          <w:rFonts w:ascii="Times New Roman" w:hAnsi="Times New Roman" w:eastAsia="Times New Roman" w:cs="Times New Roman"/>
          <w:b/>
          <w:sz w:val="21"/>
        </w:rPr>
        <w:t xml:space="preserve"> </w:t>
      </w:r>
    </w:p>
    <w:p>
      <w:pPr>
        <w:spacing w:line="267" w:lineRule="auto"/>
        <w:ind w:left="-5"/>
        <w:rPr>
          <w:rFonts w:hint="eastAsia" w:ascii="黑体" w:hAnsi="黑体" w:eastAsia="黑体" w:cs="黑体"/>
          <w:sz w:val="30"/>
          <w:lang w:val="en-US" w:eastAsia="zh-CN"/>
        </w:rPr>
      </w:pPr>
      <w:r>
        <w:rPr>
          <w:rFonts w:ascii="黑体" w:hAnsi="黑体" w:eastAsia="黑体" w:cs="黑体"/>
          <w:sz w:val="30"/>
        </w:rPr>
        <w:t xml:space="preserve">                                                     </w:t>
      </w:r>
      <w:r>
        <w:rPr>
          <w:rFonts w:hint="eastAsia" w:ascii="黑体" w:hAnsi="黑体" w:eastAsia="黑体" w:cs="黑体"/>
          <w:sz w:val="30"/>
          <w:lang w:val="en-US" w:eastAsia="zh-CN"/>
        </w:rPr>
        <w:t xml:space="preserve"> </w:t>
      </w:r>
    </w:p>
    <w:p>
      <w:pPr>
        <w:spacing w:line="267" w:lineRule="auto"/>
        <w:ind w:left="-5"/>
        <w:jc w:val="right"/>
        <w:rPr>
          <w:sz w:val="30"/>
          <w:vertAlign w:val="subscript"/>
        </w:rPr>
      </w:pPr>
      <w:r>
        <w:rPr>
          <w:sz w:val="30"/>
          <w:vertAlign w:val="subscript"/>
        </w:rPr>
        <w:t>公开08表</w:t>
      </w:r>
    </w:p>
    <w:p>
      <w:pPr>
        <w:spacing w:line="267" w:lineRule="auto"/>
        <w:ind w:left="-5"/>
        <w:rPr>
          <w:sz w:val="21"/>
        </w:rPr>
      </w:pPr>
      <w:r>
        <w:rPr>
          <w:sz w:val="21"/>
        </w:rPr>
        <w:t>部门：</w:t>
      </w:r>
      <w:r>
        <w:rPr>
          <w:rFonts w:hint="eastAsia"/>
          <w:sz w:val="21"/>
          <w:lang w:val="en-US" w:eastAsia="zh-CN"/>
        </w:rPr>
        <w:t>菏泽市第二人民医院</w:t>
      </w:r>
      <w:r>
        <w:rPr>
          <w:sz w:val="21"/>
        </w:rPr>
        <w:t xml:space="preserve">                                             </w:t>
      </w:r>
    </w:p>
    <w:tbl>
      <w:tblPr>
        <w:tblStyle w:val="8"/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35"/>
        <w:gridCol w:w="570"/>
        <w:gridCol w:w="765"/>
        <w:gridCol w:w="3690"/>
        <w:gridCol w:w="57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目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统计数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目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  次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  次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一、“三公”经费支出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二、机关运行经费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（一）支出合计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（一）行政单位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1.因公出国（境）费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（二）参照公务员法管理事业单位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2.公务用车购置及运行维护费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（1）公务用车购置费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三、国有资产占用情况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（2）公务用车运行维护费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（一）车辆数合计（辆）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3.公务接待费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1.部级领导干部用车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（1）国内接待费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2.一般公务用车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（2）国（境）外接待费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3.一般执法执勤用车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（二）相关统计数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4.特种专业技术用车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1.因公出国（境）团组数（个）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5.其他用车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2.因公出国（境）人次数（人）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（二）单位价值200万元以上大型设备（台，套）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3.公务用车购置数（辆）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4.公务用车保有量（辆）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5.国内公务接待批次（个）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6.国内公务接待人次（人）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7.国（境）外公务接待批次（个）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8.国（境）外公务接待人次（人）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267" w:lineRule="auto"/>
        <w:ind w:left="-5"/>
        <w:rPr>
          <w:sz w:val="21"/>
        </w:rPr>
      </w:pPr>
    </w:p>
    <w:p>
      <w:pPr>
        <w:spacing w:after="94" w:line="259" w:lineRule="auto"/>
        <w:ind w:left="0" w:firstLine="0"/>
      </w:pPr>
      <w:r>
        <w:rPr>
          <w:rFonts w:ascii="黑体" w:hAnsi="黑体" w:eastAsia="黑体" w:cs="黑体"/>
          <w:sz w:val="36"/>
        </w:rPr>
        <w:t xml:space="preserve"> </w:t>
      </w:r>
    </w:p>
    <w:p>
      <w:pPr>
        <w:spacing w:after="42" w:line="307" w:lineRule="auto"/>
        <w:ind w:left="0" w:right="8941" w:firstLine="0"/>
        <w:rPr>
          <w:rFonts w:ascii="黑体" w:hAnsi="黑体" w:eastAsia="黑体" w:cs="黑体"/>
          <w:sz w:val="36"/>
        </w:rPr>
      </w:pPr>
      <w:r>
        <w:rPr>
          <w:rFonts w:ascii="黑体" w:hAnsi="黑体" w:eastAsia="黑体" w:cs="黑体"/>
          <w:sz w:val="36"/>
        </w:rPr>
        <w:t xml:space="preserve">  </w:t>
      </w:r>
    </w:p>
    <w:p>
      <w:pPr>
        <w:spacing w:after="42" w:line="307" w:lineRule="auto"/>
        <w:ind w:left="0" w:right="8941" w:firstLine="0"/>
        <w:rPr>
          <w:rFonts w:ascii="黑体" w:hAnsi="黑体" w:eastAsia="黑体" w:cs="黑体"/>
          <w:sz w:val="36"/>
        </w:rPr>
      </w:pPr>
    </w:p>
    <w:p>
      <w:pPr>
        <w:spacing w:after="42" w:line="307" w:lineRule="auto"/>
        <w:ind w:left="0" w:right="8941" w:firstLine="0"/>
        <w:rPr>
          <w:rFonts w:ascii="黑体" w:hAnsi="黑体" w:eastAsia="黑体" w:cs="黑体"/>
          <w:sz w:val="36"/>
        </w:rPr>
      </w:pPr>
    </w:p>
    <w:p>
      <w:pPr>
        <w:spacing w:after="42" w:line="307" w:lineRule="auto"/>
        <w:ind w:left="0" w:right="8941" w:firstLine="0"/>
        <w:rPr>
          <w:rFonts w:ascii="黑体" w:hAnsi="黑体" w:eastAsia="黑体" w:cs="黑体"/>
          <w:sz w:val="36"/>
        </w:rPr>
      </w:pPr>
    </w:p>
    <w:p>
      <w:pPr>
        <w:spacing w:after="42" w:line="307" w:lineRule="auto"/>
        <w:ind w:left="0" w:right="8941" w:firstLine="0"/>
        <w:rPr>
          <w:rFonts w:ascii="黑体" w:hAnsi="黑体" w:eastAsia="黑体" w:cs="黑体"/>
          <w:sz w:val="36"/>
        </w:rPr>
      </w:pPr>
    </w:p>
    <w:p>
      <w:pPr>
        <w:pStyle w:val="2"/>
        <w:ind w:left="-5"/>
      </w:pPr>
      <w:r>
        <w:t xml:space="preserve">第三部分 </w:t>
      </w:r>
    </w:p>
    <w:p>
      <w:pPr>
        <w:spacing w:after="94" w:line="259" w:lineRule="auto"/>
        <w:ind w:left="0" w:firstLine="0"/>
      </w:pPr>
      <w:r>
        <w:rPr>
          <w:rFonts w:ascii="黑体" w:hAnsi="黑体" w:eastAsia="黑体" w:cs="黑体"/>
          <w:sz w:val="36"/>
        </w:rPr>
        <w:t xml:space="preserve"> </w:t>
      </w:r>
    </w:p>
    <w:p>
      <w:pPr>
        <w:spacing w:after="0" w:line="369" w:lineRule="auto"/>
        <w:ind w:left="0" w:right="8971" w:firstLine="0"/>
      </w:pPr>
      <w:r>
        <w:rPr>
          <w:rFonts w:ascii="黑体" w:hAnsi="黑体" w:eastAsia="黑体" w:cs="黑体"/>
          <w:sz w:val="30"/>
        </w:rPr>
        <w:t xml:space="preserve">  </w:t>
      </w:r>
    </w:p>
    <w:p>
      <w:pPr>
        <w:spacing w:after="136" w:line="259" w:lineRule="auto"/>
        <w:ind w:left="0" w:firstLine="0"/>
      </w:pPr>
      <w:r>
        <w:rPr>
          <w:rFonts w:ascii="黑体" w:hAnsi="黑体" w:eastAsia="黑体" w:cs="黑体"/>
          <w:sz w:val="36"/>
        </w:rPr>
        <w:t xml:space="preserve"> </w:t>
      </w:r>
    </w:p>
    <w:p>
      <w:pPr>
        <w:spacing w:after="0" w:line="239" w:lineRule="auto"/>
        <w:ind w:left="354" w:firstLine="0"/>
        <w:jc w:val="center"/>
        <w:rPr>
          <w:rFonts w:ascii="黑体" w:hAnsi="黑体" w:eastAsia="黑体" w:cs="黑体"/>
          <w:sz w:val="52"/>
        </w:rPr>
      </w:pPr>
      <w:r>
        <w:rPr>
          <w:rFonts w:ascii="黑体" w:hAnsi="黑体" w:eastAsia="黑体" w:cs="黑体"/>
          <w:sz w:val="52"/>
        </w:rPr>
        <w:t xml:space="preserve">2017年度部门决算情况和有关事项说明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" w:hanging="11"/>
        <w:jc w:val="left"/>
        <w:textAlignment w:val="auto"/>
        <w:rPr>
          <w:b/>
          <w:bCs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  <w:lang w:val="en-US" w:eastAsia="zh-CN" w:bidi="ar"/>
        </w:rPr>
        <w:t>一、预算执行情况分析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" w:hanging="11"/>
        <w:jc w:val="left"/>
        <w:textAlignment w:val="auto"/>
      </w:pP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  201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7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年收入总计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16658.24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万元，比201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6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年总收入增长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1439.48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万元，增幅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9.46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%。201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7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年当年总支出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16658.24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万元，其中人员经费支出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5309.06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万元，日常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公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用经费支出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11349.18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万元。</w:t>
      </w:r>
    </w:p>
    <w:p>
      <w:pPr>
        <w:spacing w:after="0" w:line="239" w:lineRule="auto"/>
        <w:ind w:left="354" w:firstLine="0"/>
        <w:jc w:val="left"/>
        <w:rPr>
          <w:rFonts w:ascii="黑体" w:hAnsi="黑体" w:eastAsia="黑体" w:cs="黑体"/>
          <w:sz w:val="52"/>
        </w:rPr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4572000" cy="2743200"/>
            <wp:effectExtent l="4445" t="4445" r="14605" b="1460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leftChars="0"/>
        <w:jc w:val="left"/>
        <w:textAlignment w:val="auto"/>
        <w:outlineLvl w:val="9"/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Chars="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  <w:lang w:val="en-US" w:eastAsia="zh-CN" w:bidi="ar"/>
        </w:rPr>
        <w:t>机关运行经费执行情况说明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Chars="0" w:firstLine="72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kern w:val="0"/>
          <w:sz w:val="36"/>
          <w:szCs w:val="36"/>
          <w:lang w:val="en-US" w:eastAsia="zh-CN" w:bidi="ar"/>
        </w:rPr>
        <w:t>2017年决算支出合计16658.24元，其中工资福利支出4892.45万元，主要是职工工资，社保缴费和公积金缴费支出。商品和服务支出10092.58万元，对个人和家庭的补助支出416.61万元，其他资本性支出1256.60万元。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leftChars="0" w:firstLine="720"/>
        <w:jc w:val="left"/>
        <w:textAlignment w:val="auto"/>
        <w:outlineLvl w:val="9"/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kern w:val="0"/>
          <w:sz w:val="36"/>
          <w:szCs w:val="36"/>
          <w:lang w:val="en-US" w:eastAsia="zh-CN" w:bidi="ar"/>
        </w:rPr>
        <w:t xml:space="preserve">   </w:t>
      </w:r>
      <w:r>
        <w:drawing>
          <wp:inline distT="0" distB="0" distL="114300" distR="114300">
            <wp:extent cx="4572000" cy="2743200"/>
            <wp:effectExtent l="6350" t="6350" r="12700" b="1270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cs="仿宋"/>
          <w:b/>
          <w:bCs w:val="0"/>
          <w:kern w:val="0"/>
          <w:sz w:val="36"/>
          <w:szCs w:val="36"/>
          <w:lang w:val="en-US" w:eastAsia="zh-CN" w:bidi="ar"/>
        </w:rPr>
        <w:t>三</w:t>
      </w:r>
      <w:r>
        <w:rPr>
          <w:rFonts w:hint="eastAsia" w:ascii="仿宋" w:hAnsi="仿宋" w:eastAsia="仿宋" w:cs="仿宋"/>
          <w:b/>
          <w:bCs w:val="0"/>
          <w:kern w:val="0"/>
          <w:sz w:val="36"/>
          <w:szCs w:val="36"/>
          <w:lang w:val="en-US" w:eastAsia="zh-CN" w:bidi="ar"/>
        </w:rPr>
        <w:t>、国有资产占用情况说明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   截至201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7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年12月31日，本部门共有车辆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9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辆，均为一般公务用车。单位价值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100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万元以上的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专用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设备共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16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台。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cs="仿宋"/>
          <w:b/>
          <w:bCs/>
          <w:kern w:val="0"/>
          <w:sz w:val="36"/>
          <w:szCs w:val="36"/>
          <w:lang w:val="en-US" w:eastAsia="zh-CN" w:bidi="ar"/>
        </w:rPr>
        <w:t>四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ar"/>
        </w:rPr>
        <w:t>、</w:t>
      </w:r>
      <w:r>
        <w:rPr>
          <w:rStyle w:val="7"/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ar"/>
        </w:rPr>
        <w:t>"三公"经费增减变化原因及情况说明</w:t>
      </w:r>
      <w:r>
        <w:rPr>
          <w:rStyle w:val="7"/>
          <w:rFonts w:hint="eastAsia" w:ascii="黑体" w:hAnsi="宋体" w:eastAsia="黑体" w:cs="黑体"/>
          <w:b/>
          <w:bCs/>
          <w:kern w:val="0"/>
          <w:sz w:val="36"/>
          <w:szCs w:val="36"/>
          <w:lang w:val="en-US" w:eastAsia="zh-CN" w:bidi="ar"/>
        </w:rPr>
        <w:t> </w:t>
      </w:r>
      <w:r>
        <w:rPr>
          <w:rStyle w:val="7"/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 xml:space="preserve"> 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" w:hanging="11"/>
        <w:jc w:val="left"/>
        <w:textAlignment w:val="auto"/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2017年度，我单位公务接待费9.5万元，较2016年降低了0.88万元，我院在控制不必要的支出上取得了很好的成效。公务用车购置费11万元，2016年公务用车购置费50万元，2016年因业务需求，新购置两辆救护车。公务用车运行及维护费58万元，比2016年减少33.5万元，说明我院在公务用车上，加大了费用的控制力度，并取得了较好的成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Chars="0"/>
        <w:jc w:val="left"/>
        <w:textAlignment w:val="auto"/>
        <w:outlineLvl w:val="9"/>
        <w:rPr>
          <w:rStyle w:val="7"/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ar"/>
        </w:rPr>
      </w:pPr>
      <w:r>
        <w:rPr>
          <w:rStyle w:val="7"/>
          <w:rFonts w:hint="eastAsia" w:cs="仿宋"/>
          <w:b/>
          <w:bCs/>
          <w:kern w:val="0"/>
          <w:sz w:val="36"/>
          <w:szCs w:val="36"/>
          <w:lang w:val="en-US" w:eastAsia="zh-CN" w:bidi="ar"/>
        </w:rPr>
        <w:t>五、</w:t>
      </w:r>
      <w:r>
        <w:rPr>
          <w:rStyle w:val="7"/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ar"/>
        </w:rPr>
        <w:t>政府采购支出情况说明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Style w:val="7"/>
          <w:rFonts w:hint="eastAsia" w:ascii="仿宋" w:hAnsi="仿宋" w:eastAsia="仿宋" w:cs="仿宋"/>
          <w:b w:val="0"/>
          <w:bCs w:val="0"/>
          <w:kern w:val="0"/>
          <w:sz w:val="36"/>
          <w:szCs w:val="36"/>
          <w:lang w:val="en-US" w:eastAsia="zh-CN" w:bidi="ar"/>
        </w:rPr>
      </w:pPr>
      <w:r>
        <w:rPr>
          <w:rStyle w:val="7"/>
          <w:rFonts w:hint="eastAsia" w:cs="仿宋"/>
          <w:b w:val="0"/>
          <w:bCs w:val="0"/>
          <w:kern w:val="0"/>
          <w:sz w:val="36"/>
          <w:szCs w:val="36"/>
          <w:lang w:val="en-US" w:eastAsia="zh-CN" w:bidi="ar"/>
        </w:rPr>
        <w:t xml:space="preserve">    </w:t>
      </w:r>
      <w:r>
        <w:rPr>
          <w:rStyle w:val="7"/>
          <w:rFonts w:hint="eastAsia" w:ascii="仿宋" w:hAnsi="仿宋" w:eastAsia="仿宋" w:cs="仿宋"/>
          <w:b w:val="0"/>
          <w:bCs w:val="0"/>
          <w:kern w:val="0"/>
          <w:sz w:val="36"/>
          <w:szCs w:val="36"/>
          <w:lang w:val="en-US" w:eastAsia="zh-CN" w:bidi="ar"/>
        </w:rPr>
        <w:t>2017年我院构建房屋16706万元，2016年构建房屋建筑物39万元，主要是我院门诊病房综合楼转入固定资产。购置通用设备23.5万元，2016年购置通用设备177万元，2016年初大楼启用，办公设备基本准备齐全，2017年通用设备购置支出就相应降低。专用设备159万元，家具用具10.8万元，同样低于2016年支出，这与新大楼启用有着必然的联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/>
        <w:jc w:val="left"/>
        <w:textAlignment w:val="auto"/>
        <w:rPr>
          <w:rStyle w:val="7"/>
          <w:rFonts w:hint="eastAsia" w:cs="仿宋"/>
          <w:b w:val="0"/>
          <w:bCs w:val="0"/>
          <w:kern w:val="0"/>
          <w:sz w:val="36"/>
          <w:szCs w:val="36"/>
          <w:lang w:val="en-US" w:eastAsia="zh-CN" w:bidi="ar"/>
        </w:rPr>
      </w:pPr>
      <w:r>
        <w:rPr>
          <w:rStyle w:val="7"/>
          <w:rFonts w:hint="eastAsia" w:cs="仿宋"/>
          <w:b/>
          <w:bCs/>
          <w:kern w:val="0"/>
          <w:sz w:val="36"/>
          <w:szCs w:val="36"/>
          <w:lang w:val="en-US" w:eastAsia="zh-CN" w:bidi="ar"/>
        </w:rPr>
        <w:t>六、</w:t>
      </w:r>
      <w:r>
        <w:rPr>
          <w:rStyle w:val="7"/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ar"/>
        </w:rPr>
        <w:t>预算绩效管理情况说明</w:t>
      </w:r>
    </w:p>
    <w:p>
      <w:pPr>
        <w:pStyle w:val="5"/>
        <w:keepNext w:val="0"/>
        <w:keepLines w:val="0"/>
        <w:widowControl/>
        <w:suppressLineNumbers w:val="0"/>
        <w:ind w:firstLine="720" w:firstLineChars="20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根据财政预算管理要求，我</w:t>
      </w:r>
      <w:r>
        <w:rPr>
          <w:rFonts w:hint="eastAsia"/>
          <w:color w:val="000000"/>
          <w:sz w:val="36"/>
          <w:szCs w:val="36"/>
          <w:lang w:val="en-US" w:eastAsia="zh-CN"/>
        </w:rPr>
        <w:t>院</w:t>
      </w:r>
      <w:r>
        <w:rPr>
          <w:color w:val="000000"/>
          <w:sz w:val="36"/>
          <w:szCs w:val="36"/>
        </w:rPr>
        <w:t>对 2017年度一般公共预算部分业务类项目</w:t>
      </w:r>
      <w:r>
        <w:rPr>
          <w:rFonts w:hint="eastAsia"/>
          <w:color w:val="000000"/>
          <w:sz w:val="36"/>
          <w:szCs w:val="36"/>
          <w:lang w:val="en-US" w:eastAsia="zh-CN"/>
        </w:rPr>
        <w:t>未</w:t>
      </w:r>
      <w:r>
        <w:rPr>
          <w:color w:val="000000"/>
          <w:sz w:val="36"/>
          <w:szCs w:val="36"/>
        </w:rPr>
        <w:t>开展绩效自评。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720" w:firstLineChars="200"/>
        <w:jc w:val="left"/>
        <w:textAlignment w:val="auto"/>
        <w:rPr>
          <w:rStyle w:val="7"/>
          <w:rFonts w:hint="eastAsia" w:cs="仿宋"/>
          <w:b w:val="0"/>
          <w:bCs w:val="0"/>
          <w:kern w:val="0"/>
          <w:sz w:val="36"/>
          <w:szCs w:val="36"/>
          <w:lang w:val="en-US" w:eastAsia="zh-CN" w:bidi="ar"/>
        </w:rPr>
      </w:pPr>
    </w:p>
    <w:p>
      <w:pPr>
        <w:spacing w:after="0" w:line="259" w:lineRule="auto"/>
        <w:ind w:left="0" w:firstLine="0"/>
      </w:pPr>
      <w:r>
        <w:t xml:space="preserve">    </w:t>
      </w:r>
      <w:r>
        <w:rPr>
          <w:rFonts w:ascii="楷体" w:hAnsi="楷体" w:eastAsia="楷体" w:cs="楷体"/>
        </w:rPr>
        <w:t xml:space="preserve"> </w:t>
      </w:r>
    </w:p>
    <w:p>
      <w:pPr>
        <w:spacing w:after="0" w:line="259" w:lineRule="auto"/>
        <w:ind w:left="200" w:firstLine="0"/>
      </w:pPr>
      <w:r>
        <w:t xml:space="preserve">  </w:t>
      </w:r>
      <w:r>
        <w:rPr>
          <w:rFonts w:ascii="黑体" w:hAnsi="黑体" w:eastAsia="黑体" w:cs="黑体"/>
        </w:rPr>
        <w:t xml:space="preserve"> </w:t>
      </w:r>
      <w:r>
        <w:br w:type="page"/>
      </w:r>
    </w:p>
    <w:p>
      <w:pPr>
        <w:spacing w:after="0" w:line="216" w:lineRule="auto"/>
        <w:ind w:left="0" w:right="8861" w:firstLine="0"/>
      </w:pPr>
      <w:r>
        <w:rPr>
          <w:rFonts w:ascii="黑体" w:hAnsi="黑体" w:eastAsia="黑体" w:cs="黑体"/>
          <w:sz w:val="52"/>
        </w:rPr>
        <w:t xml:space="preserve">   </w:t>
      </w:r>
    </w:p>
    <w:p>
      <w:pPr>
        <w:spacing w:after="0" w:line="259" w:lineRule="auto"/>
        <w:ind w:left="0" w:firstLine="0"/>
      </w:pPr>
      <w:r>
        <w:rPr>
          <w:rFonts w:ascii="黑体" w:hAnsi="黑体" w:eastAsia="黑体" w:cs="黑体"/>
          <w:sz w:val="52"/>
        </w:rPr>
        <w:t xml:space="preserve"> </w:t>
      </w:r>
    </w:p>
    <w:p>
      <w:pPr>
        <w:spacing w:after="0" w:line="259" w:lineRule="auto"/>
        <w:ind w:left="-5"/>
      </w:pPr>
      <w:r>
        <w:rPr>
          <w:rFonts w:ascii="黑体" w:hAnsi="黑体" w:eastAsia="黑体" w:cs="黑体"/>
          <w:sz w:val="52"/>
        </w:rPr>
        <w:t xml:space="preserve">第四部分 </w:t>
      </w:r>
    </w:p>
    <w:p>
      <w:pPr>
        <w:spacing w:after="0" w:line="216" w:lineRule="auto"/>
        <w:ind w:left="0" w:right="8861" w:firstLine="0"/>
      </w:pPr>
      <w:r>
        <w:rPr>
          <w:rFonts w:ascii="黑体" w:hAnsi="黑体" w:eastAsia="黑体" w:cs="黑体"/>
          <w:sz w:val="52"/>
        </w:rPr>
        <w:t xml:space="preserve">   </w:t>
      </w:r>
    </w:p>
    <w:p>
      <w:pPr>
        <w:spacing w:after="0" w:line="259" w:lineRule="auto"/>
        <w:ind w:left="0" w:firstLine="0"/>
      </w:pPr>
      <w:r>
        <w:rPr>
          <w:rFonts w:ascii="黑体" w:hAnsi="黑体" w:eastAsia="黑体" w:cs="黑体"/>
          <w:sz w:val="52"/>
        </w:rPr>
        <w:t xml:space="preserve"> </w:t>
      </w:r>
    </w:p>
    <w:p>
      <w:pPr>
        <w:pStyle w:val="2"/>
        <w:ind w:right="3603"/>
        <w:jc w:val="right"/>
      </w:pPr>
      <w:r>
        <w:t xml:space="preserve">名词解释 </w:t>
      </w:r>
    </w:p>
    <w:p>
      <w:pPr>
        <w:spacing w:after="0" w:line="259" w:lineRule="auto"/>
        <w:ind w:left="601" w:firstLine="0"/>
      </w:pPr>
      <w:r>
        <w:rPr>
          <w:rFonts w:ascii="黑体" w:hAnsi="黑体" w:eastAsia="黑体" w:cs="黑体"/>
        </w:rPr>
        <w:t xml:space="preserve"> </w:t>
      </w:r>
      <w: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1、财政拨款：本级财政部门当年拨付的财政预算资金，包括公共预算财政拨款和政府性基金预算财政拨款。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  2、事业收入：事业单位开展专业业务活动及辅助活动所取得的收入。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</w:pP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  3、其他收入：预算单位在“财政拨款、事业收入、经营收入”等之外取得的各项收入。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left"/>
        <w:textAlignment w:val="auto"/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4、</w:t>
      </w:r>
      <w:r>
        <w:rPr>
          <w:rFonts w:hint="default" w:ascii="仿宋_GB2312" w:hAnsi="宋体" w:eastAsia="仿宋_GB2312" w:cs="仿宋_GB2312"/>
          <w:kern w:val="0"/>
          <w:sz w:val="36"/>
          <w:szCs w:val="36"/>
          <w:lang w:val="en-US" w:eastAsia="zh-CN" w:bidi="ar"/>
        </w:rPr>
        <w:t>基本支出：是预算单位为保障其正常运行，完成日常工作任务所发生的支出，包括人员支出和日常共用支出。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left"/>
        <w:textAlignment w:val="auto"/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5、“三公”经费：是指财政拨款支出安排的出国（境）费、车辆购置及运行费、公务接待费这三项经费。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right="0" w:rightChars="0" w:firstLine="720" w:firstLineChars="200"/>
        <w:jc w:val="both"/>
        <w:textAlignment w:val="auto"/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6、一般公共预算：是指是对以税收为主体的财政收入，安排用于保障和改善民生、推动经济社会发展、维护国家安全、维持国家机构正常运转等方面的收支预算。透过一般公共预算，可以使人们了解政府活动的范围和方向，也可以体现政府政策意图和目标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right="0" w:rightChars="0" w:firstLine="720" w:firstLineChars="200"/>
        <w:jc w:val="left"/>
        <w:textAlignment w:val="auto"/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7、政府性基金预算。是指国家对依照法律、行政法规的规定在一定期限内向特定对象征收、收取或者以出让土地、发行彩票等其他方式筹集的资金，专项用于特定公共事业发展的收支预算。其收入归属政府，不归属任何部门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right="0" w:rightChars="0" w:firstLine="720" w:firstLineChars="200"/>
        <w:jc w:val="left"/>
        <w:textAlignment w:val="auto"/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8、一般公共预算支出（原公共财政预算支出）。也即通俗所称财政支出，指政府对上级转移性收入、本级一般公共预算收入等有计划的分配和使用而形成的支出。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leftChars="0" w:right="0" w:firstLine="7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kern w:val="0"/>
          <w:sz w:val="36"/>
          <w:szCs w:val="36"/>
          <w:lang w:val="en-US" w:eastAsia="zh-CN" w:bidi="ar"/>
        </w:rPr>
        <w:t>9、政府性基金支出。是指政府用筹集的政府性基金收入安排的支出。</w:t>
      </w:r>
    </w:p>
    <w:p>
      <w:pPr>
        <w:spacing w:after="0" w:line="259" w:lineRule="auto"/>
        <w:ind w:left="601" w:firstLine="0"/>
      </w:pPr>
    </w:p>
    <w:p>
      <w:pPr>
        <w:spacing w:after="0" w:line="259" w:lineRule="auto"/>
        <w:ind w:left="601" w:firstLine="0"/>
      </w:pPr>
    </w:p>
    <w:p>
      <w:pPr>
        <w:spacing w:after="0" w:line="259" w:lineRule="auto"/>
        <w:ind w:left="601" w:firstLine="0"/>
      </w:pPr>
    </w:p>
    <w:p>
      <w:pPr>
        <w:spacing w:after="0" w:line="259" w:lineRule="auto"/>
        <w:ind w:left="601" w:firstLine="0"/>
      </w:pPr>
    </w:p>
    <w:p>
      <w:pPr>
        <w:numPr>
          <w:ilvl w:val="0"/>
          <w:numId w:val="0"/>
        </w:numPr>
      </w:pPr>
    </w:p>
    <w:sectPr>
      <w:footerReference r:id="rId11" w:type="first"/>
      <w:footerReference r:id="rId9" w:type="default"/>
      <w:footerReference r:id="rId10" w:type="even"/>
      <w:pgSz w:w="11904" w:h="16840"/>
      <w:pgMar w:top="1735" w:right="1310" w:bottom="1897" w:left="1474" w:header="720" w:footer="139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166" w:firstLine="0"/>
      <w:jc w:val="center"/>
    </w:pPr>
    <w:r>
      <w:rPr>
        <w:rFonts w:ascii="宋体" w:hAnsi="宋体" w:eastAsia="宋体" w:cs="宋体"/>
        <w:sz w:val="24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 w:eastAsia="宋体" w:cs="宋体"/>
        <w:sz w:val="24"/>
      </w:rPr>
      <w:t>2</w:t>
    </w:r>
    <w:r>
      <w:rPr>
        <w:rFonts w:ascii="宋体" w:hAnsi="宋体" w:eastAsia="宋体" w:cs="宋体"/>
        <w:sz w:val="24"/>
      </w:rPr>
      <w:fldChar w:fldCharType="end"/>
    </w:r>
    <w:r>
      <w:rPr>
        <w:rFonts w:ascii="宋体" w:hAnsi="宋体" w:eastAsia="宋体" w:cs="宋体"/>
        <w:sz w:val="24"/>
      </w:rPr>
      <w:t xml:space="preserve"> —</w:t>
    </w:r>
    <w:r>
      <w:rPr>
        <w:rFonts w:ascii="Times New Roman" w:hAnsi="Times New Roman" w:eastAsia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166" w:firstLine="0"/>
      <w:jc w:val="center"/>
    </w:pPr>
    <w:r>
      <w:rPr>
        <w:rFonts w:ascii="宋体" w:hAnsi="宋体" w:eastAsia="宋体" w:cs="宋体"/>
        <w:sz w:val="24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 w:eastAsia="宋体" w:cs="宋体"/>
        <w:sz w:val="24"/>
      </w:rPr>
      <w:t>2</w:t>
    </w:r>
    <w:r>
      <w:rPr>
        <w:rFonts w:ascii="宋体" w:hAnsi="宋体" w:eastAsia="宋体" w:cs="宋体"/>
        <w:sz w:val="24"/>
      </w:rPr>
      <w:fldChar w:fldCharType="end"/>
    </w:r>
    <w:r>
      <w:rPr>
        <w:rFonts w:ascii="宋体" w:hAnsi="宋体" w:eastAsia="宋体" w:cs="宋体"/>
        <w:sz w:val="24"/>
      </w:rPr>
      <w:t xml:space="preserve"> —</w:t>
    </w:r>
    <w:r>
      <w:rPr>
        <w:rFonts w:ascii="Times New Roman" w:hAnsi="Times New Roman" w:eastAsia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8" w:firstLine="0"/>
      <w:jc w:val="center"/>
    </w:pPr>
    <w:r>
      <w:rPr>
        <w:rFonts w:ascii="宋体" w:hAnsi="宋体" w:eastAsia="宋体" w:cs="宋体"/>
        <w:sz w:val="24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 w:eastAsia="宋体" w:cs="宋体"/>
        <w:sz w:val="24"/>
      </w:rPr>
      <w:t>11</w:t>
    </w:r>
    <w:r>
      <w:rPr>
        <w:rFonts w:ascii="宋体" w:hAnsi="宋体" w:eastAsia="宋体" w:cs="宋体"/>
        <w:sz w:val="24"/>
      </w:rPr>
      <w:fldChar w:fldCharType="end"/>
    </w:r>
    <w:r>
      <w:rPr>
        <w:rFonts w:ascii="宋体" w:hAnsi="宋体" w:eastAsia="宋体" w:cs="宋体"/>
        <w:sz w:val="24"/>
      </w:rPr>
      <w:t xml:space="preserve"> —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8" w:firstLine="0"/>
      <w:jc w:val="center"/>
    </w:pPr>
    <w:r>
      <w:rPr>
        <w:rFonts w:ascii="宋体" w:hAnsi="宋体" w:eastAsia="宋体" w:cs="宋体"/>
        <w:sz w:val="24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 w:eastAsia="宋体" w:cs="宋体"/>
        <w:sz w:val="24"/>
      </w:rPr>
      <w:t>11</w:t>
    </w:r>
    <w:r>
      <w:rPr>
        <w:rFonts w:ascii="宋体" w:hAnsi="宋体" w:eastAsia="宋体" w:cs="宋体"/>
        <w:sz w:val="24"/>
      </w:rPr>
      <w:fldChar w:fldCharType="end"/>
    </w:r>
    <w:r>
      <w:rPr>
        <w:rFonts w:ascii="宋体" w:hAnsi="宋体" w:eastAsia="宋体" w:cs="宋体"/>
        <w:sz w:val="24"/>
      </w:rPr>
      <w:t xml:space="preserve"> —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8" w:firstLine="0"/>
      <w:jc w:val="center"/>
    </w:pPr>
    <w:r>
      <w:rPr>
        <w:rFonts w:ascii="宋体" w:hAnsi="宋体" w:eastAsia="宋体" w:cs="宋体"/>
        <w:sz w:val="24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 w:eastAsia="宋体" w:cs="宋体"/>
        <w:sz w:val="24"/>
      </w:rPr>
      <w:t>11</w:t>
    </w:r>
    <w:r>
      <w:rPr>
        <w:rFonts w:ascii="宋体" w:hAnsi="宋体" w:eastAsia="宋体" w:cs="宋体"/>
        <w:sz w:val="24"/>
      </w:rPr>
      <w:fldChar w:fldCharType="end"/>
    </w:r>
    <w:r>
      <w:rPr>
        <w:rFonts w:ascii="宋体" w:hAnsi="宋体" w:eastAsia="宋体" w:cs="宋体"/>
        <w:sz w:val="24"/>
      </w:rPr>
      <w:t xml:space="preserve"> —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164" w:firstLine="0"/>
      <w:jc w:val="center"/>
    </w:pPr>
    <w:r>
      <w:rPr>
        <w:rFonts w:ascii="宋体" w:hAnsi="宋体" w:eastAsia="宋体" w:cs="宋体"/>
        <w:sz w:val="24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 w:eastAsia="宋体" w:cs="宋体"/>
        <w:sz w:val="24"/>
      </w:rPr>
      <w:t>19</w:t>
    </w:r>
    <w:r>
      <w:rPr>
        <w:rFonts w:ascii="宋体" w:hAnsi="宋体" w:eastAsia="宋体" w:cs="宋体"/>
        <w:sz w:val="24"/>
      </w:rPr>
      <w:fldChar w:fldCharType="end"/>
    </w:r>
    <w:r>
      <w:rPr>
        <w:rFonts w:ascii="宋体" w:hAnsi="宋体" w:eastAsia="宋体" w:cs="宋体"/>
        <w:sz w:val="24"/>
      </w:rPr>
      <w:t xml:space="preserve"> —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164" w:firstLine="0"/>
      <w:jc w:val="center"/>
    </w:pPr>
    <w:r>
      <w:rPr>
        <w:rFonts w:ascii="宋体" w:hAnsi="宋体" w:eastAsia="宋体" w:cs="宋体"/>
        <w:sz w:val="24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 w:eastAsia="宋体" w:cs="宋体"/>
        <w:sz w:val="24"/>
      </w:rPr>
      <w:t>19</w:t>
    </w:r>
    <w:r>
      <w:rPr>
        <w:rFonts w:ascii="宋体" w:hAnsi="宋体" w:eastAsia="宋体" w:cs="宋体"/>
        <w:sz w:val="24"/>
      </w:rPr>
      <w:fldChar w:fldCharType="end"/>
    </w:r>
    <w:r>
      <w:rPr>
        <w:rFonts w:ascii="宋体" w:hAnsi="宋体" w:eastAsia="宋体" w:cs="宋体"/>
        <w:sz w:val="24"/>
      </w:rPr>
      <w:t xml:space="preserve"> —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164" w:firstLine="0"/>
      <w:jc w:val="center"/>
    </w:pPr>
    <w:r>
      <w:rPr>
        <w:rFonts w:ascii="宋体" w:hAnsi="宋体" w:eastAsia="宋体" w:cs="宋体"/>
        <w:sz w:val="24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 w:eastAsia="宋体" w:cs="宋体"/>
        <w:sz w:val="24"/>
      </w:rPr>
      <w:t>19</w:t>
    </w:r>
    <w:r>
      <w:rPr>
        <w:rFonts w:ascii="宋体" w:hAnsi="宋体" w:eastAsia="宋体" w:cs="宋体"/>
        <w:sz w:val="24"/>
      </w:rPr>
      <w:fldChar w:fldCharType="end"/>
    </w:r>
    <w:r>
      <w:rPr>
        <w:rFonts w:ascii="宋体" w:hAnsi="宋体" w:eastAsia="宋体" w:cs="宋体"/>
        <w:sz w:val="24"/>
      </w:rPr>
      <w:t xml:space="preserve"> —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666D1"/>
    <w:multiLevelType w:val="singleLevel"/>
    <w:tmpl w:val="6E6666D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46"/>
    <w:rsid w:val="001259C5"/>
    <w:rsid w:val="001E3B91"/>
    <w:rsid w:val="003A4E46"/>
    <w:rsid w:val="00C81813"/>
    <w:rsid w:val="09D443D6"/>
    <w:rsid w:val="0A3E4930"/>
    <w:rsid w:val="0E383E4D"/>
    <w:rsid w:val="0FB834ED"/>
    <w:rsid w:val="16120324"/>
    <w:rsid w:val="19D80147"/>
    <w:rsid w:val="23B37F69"/>
    <w:rsid w:val="255018C6"/>
    <w:rsid w:val="2898693F"/>
    <w:rsid w:val="2A913341"/>
    <w:rsid w:val="2BE40324"/>
    <w:rsid w:val="2C455495"/>
    <w:rsid w:val="30C62D1D"/>
    <w:rsid w:val="31AB22BE"/>
    <w:rsid w:val="338E03A3"/>
    <w:rsid w:val="348E5AD4"/>
    <w:rsid w:val="35F64273"/>
    <w:rsid w:val="38530065"/>
    <w:rsid w:val="398F0529"/>
    <w:rsid w:val="39F21D95"/>
    <w:rsid w:val="3A0411DC"/>
    <w:rsid w:val="3D8F5689"/>
    <w:rsid w:val="3E3D5D0D"/>
    <w:rsid w:val="40994786"/>
    <w:rsid w:val="41CF2A63"/>
    <w:rsid w:val="43F8350C"/>
    <w:rsid w:val="45F32092"/>
    <w:rsid w:val="488752D2"/>
    <w:rsid w:val="48F93A15"/>
    <w:rsid w:val="502D1B71"/>
    <w:rsid w:val="55B46B07"/>
    <w:rsid w:val="5631528A"/>
    <w:rsid w:val="56F258CC"/>
    <w:rsid w:val="583C67AE"/>
    <w:rsid w:val="5B6D555F"/>
    <w:rsid w:val="5BA103DD"/>
    <w:rsid w:val="5BD67C1A"/>
    <w:rsid w:val="5BF25548"/>
    <w:rsid w:val="5F431CB3"/>
    <w:rsid w:val="5F706DF8"/>
    <w:rsid w:val="61F15524"/>
    <w:rsid w:val="63137ADE"/>
    <w:rsid w:val="638147F2"/>
    <w:rsid w:val="656841AE"/>
    <w:rsid w:val="67DA434A"/>
    <w:rsid w:val="68811C10"/>
    <w:rsid w:val="688941A6"/>
    <w:rsid w:val="68FB7EFA"/>
    <w:rsid w:val="6EB47EBD"/>
    <w:rsid w:val="750A1320"/>
    <w:rsid w:val="75FE53C8"/>
    <w:rsid w:val="767B492B"/>
    <w:rsid w:val="77BC6680"/>
    <w:rsid w:val="794A3FC1"/>
    <w:rsid w:val="79712F71"/>
    <w:rsid w:val="7B7D1E4E"/>
    <w:rsid w:val="7C796616"/>
    <w:rsid w:val="7D346DA9"/>
    <w:rsid w:val="7FE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345" w:lineRule="auto"/>
      <w:ind w:left="10" w:hanging="10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10"/>
    <w:unhideWhenUsed/>
    <w:qFormat/>
    <w:uiPriority w:val="9"/>
    <w:pPr>
      <w:keepNext/>
      <w:keepLines/>
      <w:spacing w:line="259" w:lineRule="auto"/>
      <w:ind w:left="10" w:hanging="10"/>
      <w:outlineLvl w:val="0"/>
    </w:pPr>
    <w:rPr>
      <w:rFonts w:ascii="黑体" w:hAnsi="黑体" w:eastAsia="黑体" w:cs="黑体"/>
      <w:color w:val="000000"/>
      <w:kern w:val="2"/>
      <w:sz w:val="52"/>
      <w:szCs w:val="22"/>
      <w:lang w:val="en-US" w:eastAsia="zh-CN" w:bidi="ar-SA"/>
    </w:rPr>
  </w:style>
  <w:style w:type="paragraph" w:styleId="3">
    <w:name w:val="heading 2"/>
    <w:next w:val="1"/>
    <w:link w:val="9"/>
    <w:unhideWhenUsed/>
    <w:qFormat/>
    <w:uiPriority w:val="9"/>
    <w:pPr>
      <w:keepNext/>
      <w:keepLines/>
      <w:spacing w:after="150" w:line="259" w:lineRule="auto"/>
      <w:ind w:left="644" w:hanging="10"/>
      <w:outlineLvl w:val="1"/>
    </w:pPr>
    <w:rPr>
      <w:rFonts w:ascii="楷体" w:hAnsi="楷体" w:eastAsia="楷体" w:cs="楷体"/>
      <w:color w:val="000000"/>
      <w:kern w:val="2"/>
      <w:sz w:val="32"/>
      <w:szCs w:val="22"/>
      <w:lang w:val="en-US" w:eastAsia="zh-CN" w:bidi="ar-SA"/>
    </w:rPr>
  </w:style>
  <w:style w:type="paragraph" w:styleId="4">
    <w:name w:val="heading 3"/>
    <w:next w:val="1"/>
    <w:link w:val="11"/>
    <w:unhideWhenUsed/>
    <w:qFormat/>
    <w:uiPriority w:val="9"/>
    <w:pPr>
      <w:keepNext/>
      <w:keepLines/>
      <w:spacing w:after="150" w:line="259" w:lineRule="auto"/>
      <w:ind w:left="293" w:hanging="10"/>
      <w:outlineLvl w:val="2"/>
    </w:pPr>
    <w:rPr>
      <w:rFonts w:ascii="黑体" w:hAnsi="黑体" w:eastAsia="黑体" w:cs="黑体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标题 2 Char"/>
    <w:link w:val="3"/>
    <w:qFormat/>
    <w:uiPriority w:val="0"/>
    <w:rPr>
      <w:rFonts w:ascii="楷体" w:hAnsi="楷体" w:eastAsia="楷体" w:cs="楷体"/>
      <w:color w:val="000000"/>
      <w:sz w:val="32"/>
    </w:rPr>
  </w:style>
  <w:style w:type="character" w:customStyle="1" w:styleId="10">
    <w:name w:val="标题 1 Char"/>
    <w:link w:val="2"/>
    <w:qFormat/>
    <w:uiPriority w:val="0"/>
    <w:rPr>
      <w:rFonts w:ascii="黑体" w:hAnsi="黑体" w:eastAsia="黑体" w:cs="黑体"/>
      <w:color w:val="000000"/>
      <w:sz w:val="52"/>
    </w:rPr>
  </w:style>
  <w:style w:type="character" w:customStyle="1" w:styleId="11">
    <w:name w:val="标题 3 Char"/>
    <w:link w:val="4"/>
    <w:qFormat/>
    <w:uiPriority w:val="0"/>
    <w:rPr>
      <w:rFonts w:ascii="黑体" w:hAnsi="黑体" w:eastAsia="黑体" w:cs="黑体"/>
      <w:color w:val="000000"/>
      <w:sz w:val="32"/>
    </w:rPr>
  </w:style>
  <w:style w:type="table" w:customStyle="1" w:styleId="12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chart" Target="charts/chart2.xml"/><Relationship Id="rId13" Type="http://schemas.openxmlformats.org/officeDocument/2006/relationships/chart" Target="charts/chart1.xml"/><Relationship Id="rId12" Type="http://schemas.openxmlformats.org/officeDocument/2006/relationships/theme" Target="theme/theme1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.USER-20171024VM\Desktop\&#26032;&#24314;%20XLS%20&#24037;&#20316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.USER-20171024VM\Desktop\&#26032;&#24314;%20XLS%20&#24037;&#20316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收入决算总计变动情况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 工作表.xls]Sheet1'!$B$2:$C$2</c:f>
              <c:strCache>
                <c:ptCount val="2"/>
                <c:pt idx="0">
                  <c:v>2016年</c:v>
                </c:pt>
                <c:pt idx="1">
                  <c:v>2017年</c:v>
                </c:pt>
              </c:strCache>
            </c:strRef>
          </c:cat>
          <c:val>
            <c:numRef>
              <c:f>'[新建 XLS 工作表.xls]Sheet1'!$B$3:$C$3</c:f>
              <c:numCache>
                <c:formatCode>General</c:formatCode>
                <c:ptCount val="2"/>
                <c:pt idx="0">
                  <c:v>15218.76</c:v>
                </c:pt>
                <c:pt idx="1">
                  <c:v>16658.24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409193"/>
        <c:axId val="776759568"/>
      </c:barChart>
      <c:catAx>
        <c:axId val="23440919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76759568"/>
        <c:crosses val="autoZero"/>
        <c:auto val="1"/>
        <c:lblAlgn val="ctr"/>
        <c:lblOffset val="100"/>
        <c:noMultiLvlLbl val="0"/>
      </c:catAx>
      <c:valAx>
        <c:axId val="77675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3440919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>
                <a:solidFill>
                  <a:schemeClr val="dk1"/>
                </a:solidFill>
                <a:latin typeface="+mn-lt"/>
                <a:ea typeface="+mn-ea"/>
                <a:cs typeface="+mn-cs"/>
              </a:rPr>
              <a:t>支出决算情况</a:t>
            </a:r>
            <a:endParaRPr>
              <a:solidFill>
                <a:schemeClr val="dk1"/>
              </a:solidFill>
              <a:latin typeface="+mn-lt"/>
              <a:ea typeface="+mn-ea"/>
              <a:cs typeface="+mn-cs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 工作表.xls]Sheet1'!$B$9:$B$12</c:f>
              <c:strCache>
                <c:ptCount val="4"/>
                <c:pt idx="0">
                  <c:v>工资福利支出</c:v>
                </c:pt>
                <c:pt idx="1">
                  <c:v>商品和服务支出</c:v>
                </c:pt>
                <c:pt idx="2">
                  <c:v>对个人和家庭的补助支出</c:v>
                </c:pt>
                <c:pt idx="3">
                  <c:v>其他资本性支出</c:v>
                </c:pt>
              </c:strCache>
            </c:strRef>
          </c:cat>
          <c:val>
            <c:numRef>
              <c:f>'[新建 XLS 工作表.xls]Sheet1'!$C$9:$C$12</c:f>
              <c:numCache>
                <c:formatCode>General</c:formatCode>
                <c:ptCount val="4"/>
                <c:pt idx="0">
                  <c:v>4892.45</c:v>
                </c:pt>
                <c:pt idx="1">
                  <c:v>10092.58</c:v>
                </c:pt>
                <c:pt idx="2">
                  <c:v>416.61</c:v>
                </c:pt>
                <c:pt idx="3">
                  <c:v>1256.6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3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3"/>
      </a:solidFill>
      <a:prstDash val="solid"/>
      <a:miter lim="800000"/>
    </a:ln>
    <a:effectLst/>
    <a:sp3d>
      <a:extrusionClr>
        <a:srgbClr val="FFFFFF"/>
      </a:extrusionClr>
      <a:contourClr>
        <a:srgbClr val="FFFFFF"/>
      </a:contourClr>
    </a:sp3d>
  </c:spPr>
  <c:txPr>
    <a:bodyPr/>
    <a:lstStyle/>
    <a:p>
      <a:pPr>
        <a:defRPr lang="zh-CN">
          <a:solidFill>
            <a:schemeClr val="dk1"/>
          </a:solidFill>
          <a:latin typeface="+mn-lt"/>
          <a:ea typeface="+mn-ea"/>
          <a:cs typeface="+mn-cs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2753</Words>
  <Characters>15693</Characters>
  <Lines>130</Lines>
  <Paragraphs>36</Paragraphs>
  <TotalTime>9</TotalTime>
  <ScaleCrop>false</ScaleCrop>
  <LinksUpToDate>false</LinksUpToDate>
  <CharactersWithSpaces>18410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2019-04-18T09:14:00Z</dcterms:created>
  <dc:creator>lhf</dc:creator>
  <cp:lastModifiedBy>Administrator</cp:lastModifiedBy>
  <dcterms:modified xsi:type="dcterms:W3CDTF">2019-04-22T02:04:34Z</dcterms:modified>
  <dc:title>&lt;4D6963726F736F667420576F7264202D2032303137C4EAB2C6D5FECCFCB2BFC3C5BEF6CBE3B9ABBFAA382E3234D7EEBAF3B8C4&gt;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