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63" w:line="259" w:lineRule="auto"/>
        <w:ind w:left="254" w:firstLine="0"/>
        <w:jc w:val="center"/>
      </w:pPr>
      <w:r>
        <w:rPr>
          <w:rFonts w:ascii="微软雅黑" w:hAnsi="微软雅黑" w:eastAsia="微软雅黑" w:cs="微软雅黑"/>
          <w:sz w:val="84"/>
        </w:rPr>
        <w:t xml:space="preserve"> </w:t>
      </w:r>
    </w:p>
    <w:p>
      <w:pPr>
        <w:spacing w:after="64" w:line="259" w:lineRule="auto"/>
        <w:ind w:left="254" w:firstLine="0"/>
        <w:jc w:val="center"/>
      </w:pPr>
      <w:r>
        <w:rPr>
          <w:rFonts w:ascii="微软雅黑" w:hAnsi="微软雅黑" w:eastAsia="微软雅黑" w:cs="微软雅黑"/>
          <w:sz w:val="84"/>
        </w:rPr>
        <w:t xml:space="preserve"> </w:t>
      </w:r>
    </w:p>
    <w:p>
      <w:pPr>
        <w:spacing w:after="63" w:line="259" w:lineRule="auto"/>
        <w:ind w:left="254" w:firstLine="0"/>
        <w:jc w:val="center"/>
      </w:pPr>
      <w:r>
        <w:rPr>
          <w:rFonts w:ascii="微软雅黑" w:hAnsi="微软雅黑" w:eastAsia="微软雅黑" w:cs="微软雅黑"/>
          <w:sz w:val="84"/>
        </w:rPr>
        <w:t xml:space="preserve"> </w:t>
      </w:r>
    </w:p>
    <w:p>
      <w:pPr>
        <w:spacing w:after="0" w:line="275" w:lineRule="auto"/>
        <w:ind w:left="0" w:firstLine="0"/>
        <w:jc w:val="center"/>
      </w:pPr>
      <w:r>
        <w:rPr>
          <w:rFonts w:hint="eastAsia" w:ascii="微软雅黑" w:hAnsi="微软雅黑" w:eastAsia="微软雅黑" w:cs="微软雅黑"/>
          <w:sz w:val="84"/>
          <w:lang w:eastAsia="zh-CN"/>
        </w:rPr>
        <w:t>菏泽市第二人民医院</w:t>
      </w:r>
      <w:r>
        <w:rPr>
          <w:rFonts w:hint="eastAsia" w:ascii="微软雅黑" w:hAnsi="微软雅黑" w:eastAsia="微软雅黑" w:cs="微软雅黑"/>
          <w:sz w:val="84"/>
          <w:lang w:val="en-US" w:eastAsia="zh-CN"/>
        </w:rPr>
        <w:t>2018年度</w:t>
      </w:r>
      <w:r>
        <w:rPr>
          <w:rFonts w:ascii="微软雅黑" w:hAnsi="微软雅黑" w:eastAsia="微软雅黑" w:cs="微软雅黑"/>
          <w:sz w:val="84"/>
        </w:rPr>
        <w:t xml:space="preserve">部门决算 </w:t>
      </w:r>
    </w:p>
    <w:p>
      <w:pPr>
        <w:spacing w:after="64" w:line="259" w:lineRule="auto"/>
        <w:ind w:left="254" w:firstLine="0"/>
        <w:jc w:val="center"/>
      </w:pPr>
      <w:r>
        <w:rPr>
          <w:rFonts w:ascii="微软雅黑" w:hAnsi="微软雅黑" w:eastAsia="微软雅黑" w:cs="微软雅黑"/>
          <w:sz w:val="84"/>
        </w:rPr>
        <w:t xml:space="preserve"> </w:t>
      </w:r>
    </w:p>
    <w:p>
      <w:pPr>
        <w:spacing w:after="63" w:line="259" w:lineRule="auto"/>
        <w:ind w:left="254" w:firstLine="0"/>
        <w:jc w:val="center"/>
      </w:pPr>
      <w:r>
        <w:rPr>
          <w:rFonts w:ascii="微软雅黑" w:hAnsi="微软雅黑" w:eastAsia="微软雅黑" w:cs="微软雅黑"/>
          <w:sz w:val="84"/>
        </w:rPr>
        <w:t xml:space="preserve"> </w:t>
      </w:r>
    </w:p>
    <w:p>
      <w:pPr>
        <w:spacing w:after="0" w:line="259" w:lineRule="auto"/>
        <w:ind w:left="254" w:firstLine="0"/>
        <w:jc w:val="center"/>
      </w:pPr>
      <w:r>
        <w:rPr>
          <w:rFonts w:ascii="微软雅黑" w:hAnsi="微软雅黑" w:eastAsia="微软雅黑" w:cs="微软雅黑"/>
          <w:sz w:val="84"/>
        </w:rPr>
        <w:t xml:space="preserve"> </w:t>
      </w:r>
    </w:p>
    <w:p>
      <w:pPr>
        <w:spacing w:after="337" w:line="259" w:lineRule="auto"/>
        <w:ind w:left="0" w:firstLine="0"/>
      </w:pPr>
      <w:r>
        <w:rPr>
          <w:rFonts w:ascii="Times New Roman" w:hAnsi="Times New Roman" w:eastAsia="Times New Roman" w:cs="Times New Roman"/>
          <w:sz w:val="21"/>
        </w:rPr>
        <w:t xml:space="preserve"> </w:t>
      </w:r>
    </w:p>
    <w:p>
      <w:pPr>
        <w:spacing w:after="0" w:line="259" w:lineRule="auto"/>
        <w:ind w:left="0" w:right="165" w:firstLine="0"/>
        <w:jc w:val="center"/>
        <w:rPr>
          <w:rFonts w:ascii="Arial Unicode MS" w:hAnsi="Arial Unicode MS" w:eastAsia="Arial Unicode MS" w:cs="Arial Unicode MS"/>
          <w:sz w:val="44"/>
        </w:rPr>
      </w:pPr>
    </w:p>
    <w:p>
      <w:pPr>
        <w:spacing w:after="0" w:line="259" w:lineRule="auto"/>
        <w:ind w:left="0" w:right="165" w:firstLine="0"/>
        <w:jc w:val="center"/>
        <w:rPr>
          <w:rFonts w:ascii="Arial Unicode MS" w:hAnsi="Arial Unicode MS" w:eastAsia="Arial Unicode MS" w:cs="Arial Unicode MS"/>
          <w:sz w:val="44"/>
        </w:rPr>
      </w:pPr>
    </w:p>
    <w:p>
      <w:pPr>
        <w:spacing w:after="0" w:line="259" w:lineRule="auto"/>
        <w:ind w:left="0" w:right="165" w:firstLine="0"/>
        <w:jc w:val="center"/>
        <w:rPr>
          <w:rFonts w:ascii="Arial Unicode MS" w:hAnsi="Arial Unicode MS" w:eastAsia="Arial Unicode MS" w:cs="Arial Unicode MS"/>
          <w:sz w:val="44"/>
        </w:rPr>
      </w:pPr>
    </w:p>
    <w:p>
      <w:pPr>
        <w:spacing w:after="0" w:line="259" w:lineRule="auto"/>
        <w:ind w:left="0" w:right="165" w:firstLine="0"/>
        <w:jc w:val="center"/>
        <w:rPr>
          <w:rFonts w:ascii="Arial Unicode MS" w:hAnsi="Arial Unicode MS" w:eastAsia="Arial Unicode MS" w:cs="Arial Unicode MS"/>
          <w:sz w:val="44"/>
        </w:rPr>
      </w:pPr>
    </w:p>
    <w:p>
      <w:pPr>
        <w:spacing w:after="0" w:line="259" w:lineRule="auto"/>
        <w:ind w:left="0" w:right="165" w:firstLine="0"/>
        <w:jc w:val="center"/>
        <w:rPr>
          <w:rFonts w:ascii="Arial Unicode MS" w:hAnsi="Arial Unicode MS" w:eastAsia="Arial Unicode MS" w:cs="Arial Unicode MS"/>
          <w:sz w:val="44"/>
        </w:rPr>
      </w:pPr>
    </w:p>
    <w:p>
      <w:pPr>
        <w:spacing w:after="0" w:line="259" w:lineRule="auto"/>
        <w:ind w:left="0" w:right="165" w:firstLine="0"/>
        <w:jc w:val="center"/>
        <w:rPr>
          <w:rFonts w:ascii="Arial Unicode MS" w:hAnsi="Arial Unicode MS" w:eastAsia="Arial Unicode MS" w:cs="Arial Unicode MS"/>
          <w:sz w:val="44"/>
        </w:rPr>
      </w:pPr>
    </w:p>
    <w:p>
      <w:pPr>
        <w:spacing w:after="0" w:line="259" w:lineRule="auto"/>
        <w:ind w:left="0" w:right="165" w:firstLine="0"/>
        <w:jc w:val="center"/>
        <w:rPr>
          <w:rFonts w:ascii="Arial Unicode MS" w:hAnsi="Arial Unicode MS" w:eastAsia="Arial Unicode MS" w:cs="Arial Unicode MS"/>
          <w:sz w:val="44"/>
        </w:rPr>
      </w:pPr>
    </w:p>
    <w:p>
      <w:pPr>
        <w:spacing w:after="0" w:line="259" w:lineRule="auto"/>
        <w:ind w:left="0" w:right="165" w:firstLine="0"/>
        <w:jc w:val="center"/>
        <w:rPr>
          <w:rFonts w:ascii="Arial Unicode MS" w:hAnsi="Arial Unicode MS" w:eastAsia="Arial Unicode MS" w:cs="Arial Unicode MS"/>
          <w:sz w:val="44"/>
        </w:rPr>
      </w:pPr>
    </w:p>
    <w:p>
      <w:pPr>
        <w:spacing w:after="0" w:line="259" w:lineRule="auto"/>
        <w:ind w:left="0" w:right="165" w:firstLine="0"/>
        <w:jc w:val="center"/>
        <w:rPr>
          <w:rFonts w:ascii="Arial Unicode MS" w:hAnsi="Arial Unicode MS" w:eastAsia="Arial Unicode MS" w:cs="Arial Unicode MS"/>
          <w:sz w:val="44"/>
        </w:rPr>
      </w:pPr>
    </w:p>
    <w:p>
      <w:pPr>
        <w:spacing w:after="0" w:line="259" w:lineRule="auto"/>
        <w:ind w:left="0" w:right="165" w:firstLine="0"/>
        <w:jc w:val="center"/>
        <w:rPr>
          <w:rFonts w:ascii="Arial Unicode MS" w:hAnsi="Arial Unicode MS" w:eastAsia="Arial Unicode MS" w:cs="Arial Unicode MS"/>
          <w:sz w:val="44"/>
        </w:rPr>
      </w:pPr>
    </w:p>
    <w:p>
      <w:pPr>
        <w:spacing w:after="0" w:line="259" w:lineRule="auto"/>
        <w:ind w:left="0" w:right="165" w:firstLine="0"/>
        <w:jc w:val="center"/>
      </w:pPr>
      <w:r>
        <w:rPr>
          <w:rFonts w:ascii="Arial Unicode MS" w:hAnsi="Arial Unicode MS" w:eastAsia="Arial Unicode MS" w:cs="Arial Unicode MS"/>
          <w:sz w:val="44"/>
        </w:rPr>
        <w:t xml:space="preserve">目     录 </w:t>
      </w:r>
    </w:p>
    <w:p>
      <w:pPr>
        <w:spacing w:after="0" w:line="259" w:lineRule="auto"/>
        <w:ind w:left="55" w:firstLine="0"/>
        <w:jc w:val="center"/>
      </w:pPr>
      <w:r>
        <w:rPr>
          <w:rFonts w:ascii="黑体" w:hAnsi="黑体" w:eastAsia="黑体" w:cs="黑体"/>
          <w:sz w:val="44"/>
        </w:rPr>
        <w:t xml:space="preserve"> </w:t>
      </w:r>
    </w:p>
    <w:p>
      <w:pPr>
        <w:pStyle w:val="2"/>
        <w:spacing w:after="150"/>
      </w:pPr>
      <w:r>
        <w:rPr>
          <w:sz w:val="32"/>
        </w:rPr>
        <w:t xml:space="preserve">第一部分  </w:t>
      </w:r>
      <w:r>
        <w:rPr>
          <w:rFonts w:hint="eastAsia"/>
          <w:sz w:val="32"/>
          <w:lang w:eastAsia="zh-CN"/>
        </w:rPr>
        <w:t>部门</w:t>
      </w:r>
      <w:r>
        <w:rPr>
          <w:sz w:val="32"/>
        </w:rPr>
        <w:t xml:space="preserve">概况 </w:t>
      </w:r>
    </w:p>
    <w:p>
      <w:pPr>
        <w:spacing w:after="0"/>
        <w:ind w:left="918" w:right="4198"/>
        <w:rPr>
          <w:rFonts w:ascii="宋体" w:hAnsi="宋体" w:eastAsia="宋体" w:cs="宋体"/>
        </w:rPr>
      </w:pPr>
      <w:r>
        <w:rPr>
          <w:rFonts w:ascii="宋体" w:hAnsi="宋体" w:eastAsia="宋体" w:cs="宋体"/>
        </w:rPr>
        <w:t>一、部门职责</w:t>
      </w:r>
    </w:p>
    <w:p>
      <w:pPr>
        <w:spacing w:after="0"/>
        <w:ind w:left="918" w:right="4198"/>
      </w:pPr>
      <w:r>
        <w:rPr>
          <w:rFonts w:ascii="宋体" w:hAnsi="宋体" w:eastAsia="宋体" w:cs="宋体"/>
        </w:rPr>
        <w:t>二、机构设置</w:t>
      </w:r>
      <w:r>
        <w:rPr>
          <w:rFonts w:ascii="黑体" w:hAnsi="黑体" w:eastAsia="黑体" w:cs="黑体"/>
        </w:rPr>
        <w:t xml:space="preserve">  </w:t>
      </w:r>
    </w:p>
    <w:p>
      <w:pPr>
        <w:pStyle w:val="2"/>
        <w:spacing w:after="150"/>
      </w:pPr>
      <w:r>
        <w:rPr>
          <w:sz w:val="32"/>
        </w:rPr>
        <w:t>第二部分  201</w:t>
      </w:r>
      <w:r>
        <w:rPr>
          <w:rFonts w:hint="eastAsia"/>
          <w:sz w:val="32"/>
          <w:lang w:val="en-US" w:eastAsia="zh-CN"/>
        </w:rPr>
        <w:t>8</w:t>
      </w:r>
      <w:r>
        <w:rPr>
          <w:sz w:val="32"/>
        </w:rPr>
        <w:t xml:space="preserve">年度部门决算表 </w:t>
      </w:r>
    </w:p>
    <w:p>
      <w:pPr>
        <w:spacing w:after="0"/>
        <w:ind w:left="918" w:right="3558"/>
        <w:rPr>
          <w:rFonts w:ascii="宋体" w:hAnsi="宋体" w:eastAsia="宋体" w:cs="宋体"/>
        </w:rPr>
      </w:pPr>
      <w:r>
        <w:rPr>
          <w:rFonts w:ascii="宋体" w:hAnsi="宋体" w:eastAsia="宋体" w:cs="宋体"/>
        </w:rPr>
        <w:t>一、收入支出决算总表</w:t>
      </w:r>
    </w:p>
    <w:p>
      <w:pPr>
        <w:spacing w:after="0"/>
        <w:ind w:left="918" w:right="3558"/>
        <w:rPr>
          <w:rFonts w:ascii="宋体" w:hAnsi="宋体" w:eastAsia="宋体" w:cs="宋体"/>
        </w:rPr>
      </w:pPr>
      <w:r>
        <w:rPr>
          <w:rFonts w:ascii="宋体" w:hAnsi="宋体" w:eastAsia="宋体" w:cs="宋体"/>
        </w:rPr>
        <w:t>二、收入决算表</w:t>
      </w:r>
    </w:p>
    <w:p>
      <w:pPr>
        <w:spacing w:after="0"/>
        <w:ind w:left="918" w:right="3558"/>
      </w:pPr>
      <w:r>
        <w:rPr>
          <w:rFonts w:ascii="宋体" w:hAnsi="宋体" w:eastAsia="宋体" w:cs="宋体"/>
        </w:rPr>
        <w:t xml:space="preserve">三、支出决算表 </w:t>
      </w:r>
    </w:p>
    <w:p>
      <w:pPr>
        <w:numPr>
          <w:ilvl w:val="0"/>
          <w:numId w:val="0"/>
        </w:numPr>
        <w:spacing w:after="150" w:line="259" w:lineRule="auto"/>
        <w:ind w:left="908" w:leftChars="0" w:right="920" w:rightChars="0"/>
      </w:pPr>
      <w:r>
        <w:rPr>
          <w:rFonts w:hint="eastAsia" w:ascii="宋体" w:hAnsi="宋体" w:eastAsia="宋体" w:cs="宋体"/>
          <w:lang w:eastAsia="zh-CN"/>
        </w:rPr>
        <w:t>四、</w:t>
      </w:r>
      <w:r>
        <w:rPr>
          <w:rFonts w:ascii="宋体" w:hAnsi="宋体" w:eastAsia="宋体" w:cs="宋体"/>
        </w:rPr>
        <w:t xml:space="preserve">财政拨款收入支出决算总表 </w:t>
      </w:r>
    </w:p>
    <w:p>
      <w:pPr>
        <w:numPr>
          <w:ilvl w:val="0"/>
          <w:numId w:val="0"/>
        </w:numPr>
        <w:spacing w:after="150" w:line="259" w:lineRule="auto"/>
        <w:ind w:left="908" w:leftChars="0" w:right="920" w:rightChars="0"/>
      </w:pPr>
      <w:r>
        <w:rPr>
          <w:rFonts w:hint="eastAsia" w:ascii="宋体" w:hAnsi="宋体" w:eastAsia="宋体" w:cs="宋体"/>
          <w:lang w:eastAsia="zh-CN"/>
        </w:rPr>
        <w:t>五、</w:t>
      </w:r>
      <w:r>
        <w:rPr>
          <w:rFonts w:ascii="宋体" w:hAnsi="宋体" w:eastAsia="宋体" w:cs="宋体"/>
        </w:rPr>
        <w:t xml:space="preserve">一般公共预算财政拨款支出决算表 </w:t>
      </w:r>
    </w:p>
    <w:p>
      <w:pPr>
        <w:numPr>
          <w:ilvl w:val="0"/>
          <w:numId w:val="0"/>
        </w:numPr>
        <w:spacing w:after="0"/>
        <w:ind w:left="908" w:leftChars="0" w:right="920" w:rightChars="0"/>
      </w:pPr>
      <w:r>
        <w:rPr>
          <w:rFonts w:hint="eastAsia" w:ascii="宋体" w:hAnsi="宋体" w:eastAsia="宋体" w:cs="宋体"/>
          <w:lang w:eastAsia="zh-CN"/>
        </w:rPr>
        <w:t>六、</w:t>
      </w:r>
      <w:r>
        <w:rPr>
          <w:rFonts w:ascii="宋体" w:hAnsi="宋体" w:eastAsia="宋体" w:cs="宋体"/>
        </w:rPr>
        <w:t xml:space="preserve">一般公共预算财政拨款基本支出决算表 </w:t>
      </w:r>
    </w:p>
    <w:p>
      <w:pPr>
        <w:numPr>
          <w:ilvl w:val="0"/>
          <w:numId w:val="0"/>
        </w:numPr>
        <w:spacing w:after="0"/>
        <w:ind w:left="908" w:leftChars="0" w:right="920" w:rightChars="0"/>
      </w:pPr>
      <w:r>
        <w:rPr>
          <w:rFonts w:ascii="宋体" w:hAnsi="宋体" w:eastAsia="宋体" w:cs="宋体"/>
        </w:rPr>
        <w:t xml:space="preserve">七、政府性基金预算财政拨款收入支出决算表 </w:t>
      </w:r>
    </w:p>
    <w:p>
      <w:pPr>
        <w:pStyle w:val="2"/>
        <w:spacing w:line="345" w:lineRule="auto"/>
        <w:ind w:left="268" w:firstLine="640"/>
        <w:rPr>
          <w:rFonts w:hint="eastAsia" w:asciiTheme="minorEastAsia" w:hAnsiTheme="minorEastAsia" w:eastAsiaTheme="minorEastAsia" w:cstheme="minorEastAsia"/>
          <w:sz w:val="32"/>
          <w:szCs w:val="32"/>
        </w:rPr>
      </w:pPr>
      <w:r>
        <w:rPr>
          <w:rFonts w:ascii="宋体" w:hAnsi="宋体" w:eastAsia="宋体" w:cs="宋体"/>
          <w:sz w:val="32"/>
        </w:rPr>
        <w:t>八、</w:t>
      </w:r>
      <w:r>
        <w:rPr>
          <w:rFonts w:hint="eastAsia" w:asciiTheme="minorEastAsia" w:hAnsiTheme="minorEastAsia" w:eastAsiaTheme="minorEastAsia" w:cstheme="minorEastAsia"/>
          <w:sz w:val="32"/>
          <w:szCs w:val="32"/>
        </w:rPr>
        <w:t>一般公共预算财政拨款“三公”经费</w:t>
      </w:r>
      <w:r>
        <w:rPr>
          <w:rFonts w:hint="eastAsia" w:asciiTheme="minorEastAsia" w:hAnsiTheme="minorEastAsia" w:eastAsiaTheme="minorEastAsia" w:cstheme="minorEastAsia"/>
          <w:sz w:val="32"/>
          <w:szCs w:val="32"/>
          <w:lang w:val="en-US" w:eastAsia="zh-CN"/>
        </w:rPr>
        <w:t>相关信息统计表</w:t>
      </w:r>
    </w:p>
    <w:p>
      <w:pPr>
        <w:pStyle w:val="2"/>
        <w:spacing w:line="345" w:lineRule="auto"/>
      </w:pPr>
      <w:r>
        <w:rPr>
          <w:sz w:val="32"/>
        </w:rPr>
        <w:t>第三部分  201</w:t>
      </w:r>
      <w:r>
        <w:rPr>
          <w:rFonts w:hint="eastAsia"/>
          <w:sz w:val="32"/>
          <w:lang w:val="en-US" w:eastAsia="zh-CN"/>
        </w:rPr>
        <w:t>8</w:t>
      </w:r>
      <w:r>
        <w:rPr>
          <w:sz w:val="32"/>
        </w:rPr>
        <w:t xml:space="preserve">年度部门决算情况和有关事项说明 </w:t>
      </w:r>
    </w:p>
    <w:p>
      <w:pPr>
        <w:pStyle w:val="2"/>
        <w:spacing w:line="345" w:lineRule="auto"/>
        <w:ind w:left="268" w:firstLine="64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一、2018年度部门决算情况说明</w:t>
      </w:r>
    </w:p>
    <w:p>
      <w:pPr>
        <w:pStyle w:val="2"/>
        <w:spacing w:line="345" w:lineRule="auto"/>
        <w:ind w:left="268" w:firstLine="640"/>
        <w:rPr>
          <w:rFonts w:hint="eastAsia" w:ascii="宋体" w:hAnsi="宋体"/>
          <w:sz w:val="32"/>
          <w:szCs w:val="32"/>
          <w:lang w:val="en-US" w:eastAsia="zh-CN"/>
        </w:rPr>
      </w:pPr>
      <w:r>
        <w:rPr>
          <w:rFonts w:hint="eastAsia" w:asciiTheme="minorEastAsia" w:hAnsiTheme="minorEastAsia" w:eastAsiaTheme="minorEastAsia" w:cstheme="minorEastAsia"/>
          <w:sz w:val="32"/>
          <w:szCs w:val="32"/>
        </w:rPr>
        <w:t>二、重要事项说明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pPr>
      <w:r>
        <w:rPr>
          <w:rFonts w:ascii="黑体" w:hAnsi="黑体" w:eastAsia="黑体" w:cs="黑体"/>
        </w:rPr>
        <w:t xml:space="preserve">第四部分  名词解释 </w:t>
      </w:r>
    </w:p>
    <w:p>
      <w:pPr>
        <w:spacing w:after="94" w:line="259" w:lineRule="auto"/>
        <w:ind w:left="0" w:firstLine="0"/>
      </w:pPr>
      <w:r>
        <w:rPr>
          <w:rFonts w:ascii="黑体" w:hAnsi="黑体" w:eastAsia="黑体" w:cs="黑体"/>
          <w:sz w:val="36"/>
        </w:rPr>
        <w:t xml:space="preserve"> </w:t>
      </w:r>
    </w:p>
    <w:p>
      <w:pPr>
        <w:spacing w:after="94" w:line="259" w:lineRule="auto"/>
        <w:ind w:left="0" w:firstLine="0"/>
        <w:rPr>
          <w:rFonts w:ascii="黑体" w:hAnsi="黑体" w:eastAsia="黑体" w:cs="黑体"/>
          <w:sz w:val="52"/>
        </w:rPr>
      </w:pPr>
      <w:r>
        <w:rPr>
          <w:rFonts w:ascii="黑体" w:hAnsi="黑体" w:eastAsia="黑体" w:cs="黑体"/>
          <w:sz w:val="36"/>
        </w:rPr>
        <w:t xml:space="preserve"> </w:t>
      </w:r>
    </w:p>
    <w:p>
      <w:pPr>
        <w:spacing w:after="0" w:line="259" w:lineRule="auto"/>
        <w:ind w:left="0" w:leftChars="0" w:firstLine="0" w:firstLineChars="0"/>
      </w:pPr>
      <w:r>
        <w:rPr>
          <w:rFonts w:ascii="黑体" w:hAnsi="黑体" w:eastAsia="黑体" w:cs="黑体"/>
          <w:sz w:val="52"/>
        </w:rPr>
        <w:t xml:space="preserve">第一部分 </w:t>
      </w:r>
    </w:p>
    <w:p>
      <w:pPr>
        <w:pStyle w:val="2"/>
        <w:ind w:right="4124"/>
        <w:jc w:val="right"/>
      </w:pPr>
      <w:r>
        <w:rPr>
          <w:rFonts w:hint="eastAsia"/>
          <w:lang w:eastAsia="zh-CN"/>
        </w:rPr>
        <w:t>部门</w:t>
      </w:r>
      <w:r>
        <w:t xml:space="preserve">概况 </w:t>
      </w:r>
    </w:p>
    <w:p>
      <w:pPr>
        <w:spacing w:after="0" w:line="259" w:lineRule="auto"/>
        <w:ind w:left="0" w:firstLine="0"/>
        <w:rPr>
          <w:rFonts w:ascii="黑体" w:hAnsi="黑体" w:eastAsia="黑体" w:cs="黑体"/>
          <w:sz w:val="36"/>
        </w:rPr>
      </w:pPr>
    </w:p>
    <w:p>
      <w:pPr>
        <w:spacing w:after="0" w:line="259" w:lineRule="auto"/>
        <w:ind w:left="0" w:firstLine="360" w:firstLineChars="100"/>
      </w:pPr>
      <w:r>
        <w:rPr>
          <w:rFonts w:ascii="黑体" w:hAnsi="黑体" w:eastAsia="黑体" w:cs="黑体"/>
          <w:sz w:val="36"/>
        </w:rPr>
        <w:t xml:space="preserve"> </w:t>
      </w:r>
      <w:r>
        <w:rPr>
          <w:rFonts w:ascii="黑体" w:hAnsi="黑体" w:eastAsia="黑体" w:cs="黑体"/>
        </w:rPr>
        <w:t xml:space="preserve">一、部门职责 </w:t>
      </w:r>
    </w:p>
    <w:p>
      <w:pPr>
        <w:numPr>
          <w:ilvl w:val="0"/>
          <w:numId w:val="0"/>
        </w:numPr>
        <w:spacing w:after="170" w:line="259" w:lineRule="auto"/>
        <w:ind w:firstLine="640" w:firstLineChars="200"/>
      </w:pPr>
      <w:r>
        <w:rPr>
          <w:rFonts w:hint="default" w:ascii="仿宋_GB2312" w:hAnsi="宋体" w:eastAsia="仿宋_GB2312" w:cs="仿宋_GB2312"/>
          <w:kern w:val="0"/>
          <w:sz w:val="32"/>
          <w:szCs w:val="32"/>
          <w:lang w:val="en-US" w:eastAsia="zh-CN" w:bidi="ar"/>
        </w:rPr>
        <w:t>为人民身体健康提供医疗与护理保健服务。医疗与护理、医学教学、医学研究、卫生医疗人员培训、卫生技术人员继续教育、保健、交通创伤急救。</w:t>
      </w:r>
      <w:r>
        <w:t xml:space="preserve"> </w:t>
      </w:r>
    </w:p>
    <w:p>
      <w:pPr>
        <w:pStyle w:val="3"/>
        <w:ind w:left="650"/>
      </w:pPr>
      <w:r>
        <w:rPr>
          <w:rFonts w:ascii="黑体" w:hAnsi="黑体" w:eastAsia="黑体" w:cs="黑体"/>
        </w:rPr>
        <w:t xml:space="preserve">二、机构设置 </w:t>
      </w:r>
    </w:p>
    <w:p>
      <w:pPr>
        <w:spacing w:line="259" w:lineRule="auto"/>
        <w:ind w:left="358" w:leftChars="112" w:firstLine="627" w:firstLineChars="196"/>
        <w:rPr>
          <w:rFonts w:hint="eastAsia" w:ascii="仿宋_GB2312" w:hAnsi="宋体" w:eastAsia="仿宋_GB2312" w:cs="仿宋_GB2312"/>
          <w:kern w:val="0"/>
          <w:sz w:val="32"/>
          <w:szCs w:val="32"/>
          <w:lang w:val="en-US" w:eastAsia="zh-CN" w:bidi="ar"/>
        </w:rPr>
      </w:pPr>
      <w:r>
        <w:rPr>
          <w:rFonts w:hint="eastAsia" w:ascii="仿宋_GB2312" w:hAnsi="宋体" w:eastAsia="仿宋_GB2312" w:cs="Courier New"/>
          <w:sz w:val="32"/>
          <w:szCs w:val="32"/>
        </w:rPr>
        <w:t>从决算单位构成看，</w:t>
      </w:r>
      <w:r>
        <w:rPr>
          <w:rFonts w:hint="eastAsia" w:ascii="仿宋_GB2312" w:hAnsi="宋体" w:eastAsia="仿宋_GB2312" w:cs="Courier New"/>
          <w:sz w:val="32"/>
          <w:szCs w:val="32"/>
          <w:lang w:eastAsia="zh-CN"/>
        </w:rPr>
        <w:t>菏泽市第二人民医院</w:t>
      </w:r>
      <w:r>
        <w:rPr>
          <w:rFonts w:hint="eastAsia" w:ascii="仿宋_GB2312" w:hAnsi="宋体" w:eastAsia="仿宋_GB2312" w:cs="Courier New"/>
          <w:sz w:val="32"/>
          <w:szCs w:val="32"/>
        </w:rPr>
        <w:t>部门决算</w:t>
      </w:r>
      <w:r>
        <w:rPr>
          <w:rFonts w:hint="eastAsia" w:ascii="仿宋_GB2312" w:hAnsi="宋体" w:eastAsia="仿宋_GB2312" w:cs="Courier New"/>
          <w:sz w:val="32"/>
          <w:szCs w:val="32"/>
          <w:lang w:eastAsia="zh-CN"/>
        </w:rPr>
        <w:t>仅包括菏泽市第二人民医院决算。</w:t>
      </w:r>
    </w:p>
    <w:p>
      <w:pPr>
        <w:spacing w:line="259" w:lineRule="auto"/>
        <w:ind w:left="358" w:leftChars="112" w:firstLine="627" w:firstLineChars="196"/>
        <w:rPr>
          <w:rFonts w:hint="default" w:ascii="仿宋_GB2312" w:hAnsi="宋体" w:eastAsia="仿宋_GB2312" w:cs="仿宋_GB2312"/>
          <w:kern w:val="0"/>
          <w:sz w:val="32"/>
          <w:szCs w:val="32"/>
          <w:lang w:val="en-US" w:eastAsia="zh-CN" w:bidi="ar"/>
        </w:rPr>
      </w:pPr>
      <w:r>
        <w:rPr>
          <w:rFonts w:hint="eastAsia" w:ascii="仿宋_GB2312" w:hAnsi="宋体" w:eastAsia="仿宋_GB2312" w:cs="仿宋_GB2312"/>
          <w:kern w:val="0"/>
          <w:sz w:val="32"/>
          <w:szCs w:val="32"/>
          <w:lang w:val="en-US" w:eastAsia="zh-CN" w:bidi="ar"/>
        </w:rPr>
        <w:t>纳入</w:t>
      </w:r>
      <w:r>
        <w:rPr>
          <w:rFonts w:hint="default" w:ascii="仿宋_GB2312" w:hAnsi="宋体" w:eastAsia="仿宋_GB2312" w:cs="仿宋_GB2312"/>
          <w:kern w:val="0"/>
          <w:sz w:val="32"/>
          <w:szCs w:val="32"/>
          <w:lang w:val="en-US" w:eastAsia="zh-CN" w:bidi="ar"/>
        </w:rPr>
        <w:t>菏泽市第二人民医院201</w:t>
      </w:r>
      <w:r>
        <w:rPr>
          <w:rFonts w:hint="eastAsia" w:ascii="仿宋_GB2312" w:hAnsi="宋体" w:eastAsia="仿宋_GB2312" w:cs="仿宋_GB2312"/>
          <w:kern w:val="0"/>
          <w:sz w:val="32"/>
          <w:szCs w:val="32"/>
          <w:lang w:val="en-US" w:eastAsia="zh-CN" w:bidi="ar"/>
        </w:rPr>
        <w:t>8</w:t>
      </w:r>
      <w:r>
        <w:rPr>
          <w:rFonts w:hint="default" w:ascii="仿宋_GB2312" w:hAnsi="宋体" w:eastAsia="仿宋_GB2312" w:cs="仿宋_GB2312"/>
          <w:kern w:val="0"/>
          <w:sz w:val="32"/>
          <w:szCs w:val="32"/>
          <w:lang w:val="en-US" w:eastAsia="zh-CN" w:bidi="ar"/>
        </w:rPr>
        <w:t>年度部门决算</w:t>
      </w:r>
      <w:r>
        <w:rPr>
          <w:rFonts w:hint="eastAsia" w:ascii="仿宋_GB2312" w:hAnsi="宋体" w:eastAsia="仿宋_GB2312" w:cs="Courier New"/>
          <w:sz w:val="32"/>
          <w:szCs w:val="32"/>
        </w:rPr>
        <w:t>编制范围的预算单位</w:t>
      </w:r>
      <w:r>
        <w:rPr>
          <w:rFonts w:hint="eastAsia" w:ascii="仿宋_GB2312" w:hAnsi="宋体" w:eastAsia="仿宋_GB2312" w:cs="Courier New"/>
          <w:sz w:val="32"/>
          <w:szCs w:val="32"/>
          <w:lang w:eastAsia="zh-CN"/>
        </w:rPr>
        <w:t>为菏泽市第二人民医院</w:t>
      </w:r>
      <w:r>
        <w:rPr>
          <w:rFonts w:hint="default" w:ascii="仿宋_GB2312" w:hAnsi="宋体" w:eastAsia="仿宋_GB2312" w:cs="仿宋_GB2312"/>
          <w:kern w:val="0"/>
          <w:sz w:val="32"/>
          <w:szCs w:val="32"/>
          <w:lang w:val="en-US" w:eastAsia="zh-CN" w:bidi="ar"/>
        </w:rPr>
        <w:t>。</w:t>
      </w:r>
    </w:p>
    <w:p>
      <w:pPr>
        <w:spacing w:line="259" w:lineRule="auto"/>
        <w:rPr>
          <w:rFonts w:ascii="黑体" w:hAnsi="黑体" w:eastAsia="黑体" w:cs="黑体"/>
          <w:sz w:val="52"/>
        </w:rPr>
      </w:pPr>
    </w:p>
    <w:p>
      <w:pPr>
        <w:spacing w:line="259" w:lineRule="auto"/>
        <w:rPr>
          <w:rFonts w:ascii="黑体" w:hAnsi="黑体" w:eastAsia="黑体" w:cs="黑体"/>
          <w:sz w:val="52"/>
        </w:rPr>
      </w:pPr>
    </w:p>
    <w:p>
      <w:pPr>
        <w:spacing w:line="259" w:lineRule="auto"/>
        <w:rPr>
          <w:rFonts w:ascii="黑体" w:hAnsi="黑体" w:eastAsia="黑体" w:cs="黑体"/>
          <w:sz w:val="52"/>
        </w:rPr>
      </w:pPr>
    </w:p>
    <w:p>
      <w:pPr>
        <w:spacing w:line="259" w:lineRule="auto"/>
        <w:rPr>
          <w:rFonts w:ascii="黑体" w:hAnsi="黑体" w:eastAsia="黑体" w:cs="黑体"/>
          <w:sz w:val="52"/>
        </w:rPr>
      </w:pPr>
    </w:p>
    <w:p>
      <w:pPr>
        <w:spacing w:line="259" w:lineRule="auto"/>
        <w:rPr>
          <w:rFonts w:ascii="黑体" w:hAnsi="黑体" w:eastAsia="黑体" w:cs="黑体"/>
          <w:sz w:val="52"/>
        </w:rPr>
      </w:pPr>
    </w:p>
    <w:p>
      <w:pPr>
        <w:spacing w:line="259" w:lineRule="auto"/>
        <w:rPr>
          <w:rFonts w:ascii="黑体" w:hAnsi="黑体" w:eastAsia="黑体" w:cs="黑体"/>
          <w:sz w:val="52"/>
        </w:rPr>
      </w:pPr>
    </w:p>
    <w:p>
      <w:pPr>
        <w:spacing w:line="259" w:lineRule="auto"/>
        <w:rPr>
          <w:rFonts w:ascii="黑体" w:hAnsi="黑体" w:eastAsia="黑体" w:cs="黑体"/>
          <w:sz w:val="52"/>
        </w:rPr>
      </w:pPr>
    </w:p>
    <w:p>
      <w:pPr>
        <w:spacing w:line="259" w:lineRule="auto"/>
        <w:rPr>
          <w:rFonts w:ascii="黑体" w:hAnsi="黑体" w:eastAsia="黑体" w:cs="黑体"/>
          <w:sz w:val="52"/>
        </w:rPr>
      </w:pPr>
    </w:p>
    <w:p>
      <w:pPr>
        <w:spacing w:line="259" w:lineRule="auto"/>
        <w:rPr>
          <w:rFonts w:ascii="黑体" w:hAnsi="黑体" w:eastAsia="黑体" w:cs="黑体"/>
          <w:sz w:val="52"/>
        </w:rPr>
      </w:pPr>
    </w:p>
    <w:p>
      <w:pPr>
        <w:spacing w:line="259" w:lineRule="auto"/>
        <w:rPr>
          <w:rFonts w:ascii="黑体" w:hAnsi="黑体" w:eastAsia="黑体" w:cs="黑体"/>
          <w:sz w:val="52"/>
        </w:rPr>
      </w:pPr>
      <w:r>
        <w:rPr>
          <w:rFonts w:ascii="黑体" w:hAnsi="黑体" w:eastAsia="黑体" w:cs="黑体"/>
          <w:sz w:val="52"/>
        </w:rPr>
        <w:t xml:space="preserve">第二部分 </w:t>
      </w:r>
    </w:p>
    <w:p>
      <w:pPr>
        <w:spacing w:line="259" w:lineRule="auto"/>
        <w:rPr>
          <w:rFonts w:ascii="黑体" w:hAnsi="黑体" w:eastAsia="黑体" w:cs="黑体"/>
          <w:sz w:val="52"/>
        </w:rPr>
      </w:pPr>
    </w:p>
    <w:p>
      <w:pPr>
        <w:pStyle w:val="2"/>
        <w:ind w:right="2224"/>
        <w:jc w:val="right"/>
      </w:pPr>
      <w:r>
        <w:t>201</w:t>
      </w:r>
      <w:r>
        <w:rPr>
          <w:rFonts w:hint="eastAsia"/>
          <w:lang w:val="en-US" w:eastAsia="zh-CN"/>
        </w:rPr>
        <w:t>8</w:t>
      </w:r>
      <w:r>
        <w:t xml:space="preserve">年度部门决算表 </w:t>
      </w:r>
    </w:p>
    <w:p>
      <w:pPr>
        <w:spacing w:after="0" w:line="259" w:lineRule="auto"/>
        <w:ind w:left="0" w:firstLine="0"/>
      </w:pPr>
      <w:r>
        <w:rPr>
          <w:rFonts w:ascii="黑体" w:hAnsi="黑体" w:eastAsia="黑体" w:cs="黑体"/>
          <w:sz w:val="30"/>
        </w:rPr>
        <w:t xml:space="preserve"> </w:t>
      </w:r>
      <w:r>
        <w:br w:type="page"/>
      </w:r>
    </w:p>
    <w:p>
      <w:pPr>
        <w:pStyle w:val="3"/>
        <w:spacing w:after="0"/>
        <w:ind w:left="3199" w:right="3363" w:hanging="3199"/>
        <w:jc w:val="center"/>
      </w:pPr>
      <w:r>
        <w:rPr>
          <w:rFonts w:hint="eastAsia" w:ascii="黑体" w:hAnsi="黑体" w:eastAsia="黑体" w:cs="黑体"/>
          <w:lang w:val="en-US" w:eastAsia="zh-CN"/>
        </w:rPr>
        <w:t xml:space="preserve">                     </w:t>
      </w:r>
      <w:r>
        <w:rPr>
          <w:rFonts w:ascii="黑体" w:hAnsi="黑体" w:eastAsia="黑体" w:cs="黑体"/>
        </w:rPr>
        <w:t>收入支出决算表</w:t>
      </w:r>
    </w:p>
    <w:p>
      <w:pPr>
        <w:spacing w:after="0" w:line="259" w:lineRule="auto"/>
        <w:ind w:left="0" w:right="61" w:firstLine="0"/>
        <w:jc w:val="center"/>
      </w:pPr>
      <w:r>
        <w:rPr>
          <w:sz w:val="21"/>
        </w:rPr>
        <w:t xml:space="preserve"> </w:t>
      </w:r>
    </w:p>
    <w:p>
      <w:pPr>
        <w:spacing w:line="267" w:lineRule="auto"/>
        <w:ind w:left="-15" w:firstLine="281"/>
        <w:rPr>
          <w:sz w:val="21"/>
        </w:rPr>
      </w:pPr>
      <w:r>
        <w:rPr>
          <w:sz w:val="21"/>
        </w:rPr>
        <w:t xml:space="preserve">                                                                       公开01表</w:t>
      </w:r>
    </w:p>
    <w:p>
      <w:pPr>
        <w:spacing w:line="267" w:lineRule="auto"/>
        <w:ind w:left="-15" w:firstLine="281"/>
        <w:rPr>
          <w:vertAlign w:val="subscript"/>
        </w:rPr>
      </w:pPr>
      <w:r>
        <w:rPr>
          <w:rFonts w:hint="eastAsia"/>
          <w:sz w:val="21"/>
          <w:lang w:eastAsia="zh-CN"/>
        </w:rPr>
        <w:t>部门：菏泽市第二人民医院</w:t>
      </w:r>
      <w:r>
        <w:rPr>
          <w:sz w:val="21"/>
        </w:rPr>
        <w:t xml:space="preserve"> </w:t>
      </w:r>
      <w:r>
        <w:rPr>
          <w:rFonts w:ascii="宋体" w:hAnsi="宋体" w:eastAsia="宋体" w:cs="宋体"/>
          <w:sz w:val="36"/>
        </w:rPr>
        <w:t xml:space="preserve">              </w:t>
      </w:r>
      <w:r>
        <w:rPr>
          <w:sz w:val="36"/>
        </w:rPr>
        <w:t xml:space="preserve">          </w:t>
      </w:r>
      <w:r>
        <w:rPr>
          <w:rFonts w:hint="eastAsia"/>
          <w:sz w:val="36"/>
          <w:lang w:val="en-US" w:eastAsia="zh-CN"/>
        </w:rPr>
        <w:t xml:space="preserve"> </w:t>
      </w:r>
      <w:r>
        <w:rPr>
          <w:sz w:val="36"/>
        </w:rPr>
        <w:t xml:space="preserve"> </w:t>
      </w:r>
      <w:r>
        <w:rPr>
          <w:sz w:val="21"/>
        </w:rPr>
        <w:t>金额单位：</w:t>
      </w:r>
      <w:r>
        <w:rPr>
          <w:rFonts w:hint="eastAsia"/>
          <w:sz w:val="21"/>
          <w:lang w:val="en-US" w:eastAsia="zh-CN"/>
        </w:rPr>
        <w:t>万</w:t>
      </w:r>
      <w:r>
        <w:rPr>
          <w:sz w:val="21"/>
        </w:rPr>
        <w:t>元</w:t>
      </w:r>
    </w:p>
    <w:tbl>
      <w:tblPr>
        <w:tblStyle w:val="16"/>
        <w:tblW w:w="97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441"/>
        <w:gridCol w:w="467"/>
        <w:gridCol w:w="1870"/>
        <w:gridCol w:w="2925"/>
        <w:gridCol w:w="635"/>
        <w:gridCol w:w="13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477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收     入</w:t>
            </w:r>
          </w:p>
        </w:tc>
        <w:tc>
          <w:tcPr>
            <w:tcW w:w="493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项    目</w:t>
            </w:r>
          </w:p>
        </w:tc>
        <w:tc>
          <w:tcPr>
            <w:tcW w:w="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行次</w:t>
            </w:r>
          </w:p>
        </w:tc>
        <w:tc>
          <w:tcPr>
            <w:tcW w:w="1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金额</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项    目</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行次</w:t>
            </w:r>
          </w:p>
        </w:tc>
        <w:tc>
          <w:tcPr>
            <w:tcW w:w="1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栏    次</w:t>
            </w:r>
          </w:p>
        </w:tc>
        <w:tc>
          <w:tcPr>
            <w:tcW w:w="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p>
        </w:tc>
        <w:tc>
          <w:tcPr>
            <w:tcW w:w="1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栏    次</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一、财政拨款收入</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149.95</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一、一般公共服务支出</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17</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w:t>
            </w:r>
            <w:r>
              <w:rPr>
                <w:rStyle w:val="21"/>
                <w:rFonts w:hint="eastAsia" w:ascii="仿宋" w:hAnsi="仿宋" w:eastAsia="仿宋" w:cs="仿宋"/>
                <w:color w:val="000000"/>
                <w:sz w:val="18"/>
                <w:szCs w:val="18"/>
                <w:lang w:val="en-US" w:eastAsia="zh-CN" w:bidi="ar"/>
              </w:rPr>
              <w:t xml:space="preserve"> 其中：政府性基金预算财政拨款</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lang w:val="en-US" w:eastAsia="zh-CN"/>
              </w:rPr>
            </w:pPr>
            <w:r>
              <w:rPr>
                <w:rFonts w:hint="eastAsia" w:cs="仿宋"/>
                <w:i w:val="0"/>
                <w:color w:val="000000"/>
                <w:sz w:val="18"/>
                <w:szCs w:val="18"/>
                <w:u w:val="none"/>
                <w:lang w:val="en-US" w:eastAsia="zh-CN"/>
              </w:rPr>
              <w:t>0.00</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二、外交支出</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r>
              <w:rPr>
                <w:rStyle w:val="21"/>
                <w:rFonts w:hint="eastAsia" w:ascii="仿宋" w:hAnsi="仿宋" w:eastAsia="仿宋" w:cs="仿宋"/>
                <w:color w:val="000000"/>
                <w:sz w:val="18"/>
                <w:szCs w:val="18"/>
                <w:lang w:val="en-US" w:eastAsia="zh-CN" w:bidi="ar"/>
              </w:rPr>
              <w:t>8</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二、上级补助收入</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三、国防支出</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r>
              <w:rPr>
                <w:rStyle w:val="21"/>
                <w:rFonts w:hint="eastAsia" w:ascii="仿宋" w:hAnsi="仿宋" w:eastAsia="仿宋" w:cs="仿宋"/>
                <w:color w:val="000000"/>
                <w:sz w:val="18"/>
                <w:szCs w:val="18"/>
                <w:lang w:val="en-US" w:eastAsia="zh-CN" w:bidi="ar"/>
              </w:rPr>
              <w:t>9</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三、事业收入</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16981.68</w:t>
            </w:r>
            <w:r>
              <w:rPr>
                <w:rFonts w:hint="eastAsia" w:ascii="仿宋" w:hAnsi="仿宋" w:eastAsia="仿宋" w:cs="仿宋"/>
                <w:i w:val="0"/>
                <w:color w:val="000000"/>
                <w:kern w:val="0"/>
                <w:sz w:val="18"/>
                <w:szCs w:val="18"/>
                <w:u w:val="none"/>
                <w:lang w:val="en-US" w:eastAsia="zh-CN" w:bidi="ar"/>
              </w:rPr>
              <w:t xml:space="preserve"> </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四、公共安全支出</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20</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四、经营收入</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五、教育支出</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21</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五、附属单位上缴收入</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6</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六、科学技术支出</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22</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六、其他收入</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7</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lang w:val="en-US"/>
              </w:rPr>
            </w:pPr>
            <w:r>
              <w:rPr>
                <w:rFonts w:hint="eastAsia" w:cs="仿宋"/>
                <w:i w:val="0"/>
                <w:color w:val="000000"/>
                <w:kern w:val="0"/>
                <w:sz w:val="18"/>
                <w:szCs w:val="18"/>
                <w:u w:val="none"/>
                <w:lang w:val="en-US" w:eastAsia="zh-CN" w:bidi="ar"/>
              </w:rPr>
              <w:t>134.15</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九、医疗卫生与计划生育支出</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23</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17265.78</w:t>
            </w:r>
            <w:r>
              <w:rPr>
                <w:rFonts w:hint="eastAsia" w:ascii="仿宋" w:hAnsi="仿宋" w:eastAsia="仿宋" w:cs="仿宋"/>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8</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8"/>
                <w:szCs w:val="18"/>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24</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18"/>
                <w:szCs w:val="18"/>
                <w:u w:val="none"/>
              </w:rPr>
            </w:pPr>
            <w:r>
              <w:rPr>
                <w:rFonts w:hint="eastAsia" w:ascii="仿宋" w:hAnsi="仿宋" w:eastAsia="仿宋" w:cs="仿宋"/>
                <w:b/>
                <w:i w:val="0"/>
                <w:color w:val="000000"/>
                <w:kern w:val="0"/>
                <w:sz w:val="18"/>
                <w:szCs w:val="18"/>
                <w:u w:val="none"/>
                <w:lang w:val="en-US" w:eastAsia="zh-CN" w:bidi="ar"/>
              </w:rPr>
              <w:t>本年收入合计</w:t>
            </w:r>
          </w:p>
        </w:tc>
        <w:tc>
          <w:tcPr>
            <w:tcW w:w="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18"/>
                <w:szCs w:val="18"/>
                <w:u w:val="none"/>
                <w:lang w:val="en-US"/>
              </w:rPr>
            </w:pPr>
            <w:r>
              <w:rPr>
                <w:rFonts w:hint="eastAsia" w:cs="仿宋"/>
                <w:b/>
                <w:i w:val="0"/>
                <w:color w:val="000000"/>
                <w:kern w:val="0"/>
                <w:sz w:val="18"/>
                <w:szCs w:val="18"/>
                <w:u w:val="none"/>
                <w:lang w:val="en-US" w:eastAsia="zh-CN" w:bidi="ar"/>
              </w:rPr>
              <w:t>17265.78</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18"/>
                <w:szCs w:val="18"/>
                <w:u w:val="none"/>
              </w:rPr>
            </w:pPr>
            <w:r>
              <w:rPr>
                <w:rFonts w:hint="eastAsia" w:ascii="仿宋" w:hAnsi="仿宋" w:eastAsia="仿宋" w:cs="仿宋"/>
                <w:b/>
                <w:i w:val="0"/>
                <w:color w:val="000000"/>
                <w:kern w:val="0"/>
                <w:sz w:val="18"/>
                <w:szCs w:val="18"/>
                <w:u w:val="none"/>
                <w:lang w:val="en-US" w:eastAsia="zh-CN" w:bidi="ar"/>
              </w:rPr>
              <w:t>本年支出合计</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25</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18"/>
                <w:szCs w:val="18"/>
                <w:u w:val="none"/>
              </w:rPr>
            </w:pPr>
            <w:r>
              <w:rPr>
                <w:rFonts w:hint="eastAsia" w:cs="仿宋"/>
                <w:b/>
                <w:i w:val="0"/>
                <w:color w:val="000000"/>
                <w:kern w:val="0"/>
                <w:sz w:val="18"/>
                <w:szCs w:val="18"/>
                <w:u w:val="none"/>
                <w:lang w:val="en-US" w:eastAsia="zh-CN" w:bidi="ar"/>
              </w:rPr>
              <w:t>17265.78</w:t>
            </w:r>
            <w:r>
              <w:rPr>
                <w:rFonts w:hint="eastAsia" w:ascii="仿宋" w:hAnsi="仿宋" w:eastAsia="仿宋" w:cs="仿宋"/>
                <w:b/>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5" w:hRule="atLeast"/>
        </w:trPr>
        <w:tc>
          <w:tcPr>
            <w:tcW w:w="2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用事业基金弥补收支差额</w:t>
            </w:r>
          </w:p>
        </w:tc>
        <w:tc>
          <w:tcPr>
            <w:tcW w:w="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10</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结余分配</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26</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年初结转和结余</w:t>
            </w:r>
          </w:p>
        </w:tc>
        <w:tc>
          <w:tcPr>
            <w:tcW w:w="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11</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其中：提取职工福利基金</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27</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其中：项目支出结转和结余</w:t>
            </w:r>
          </w:p>
        </w:tc>
        <w:tc>
          <w:tcPr>
            <w:tcW w:w="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12</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转入事业基金</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28</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13</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年末结转和结余</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29</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14</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其中：项目支出结转和结余</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15</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8"/>
                <w:szCs w:val="18"/>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31</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sz w:val="18"/>
                <w:szCs w:val="18"/>
                <w:u w:val="none"/>
              </w:rPr>
            </w:pPr>
            <w:r>
              <w:rPr>
                <w:rFonts w:hint="eastAsia" w:ascii="仿宋" w:hAnsi="仿宋" w:eastAsia="仿宋" w:cs="仿宋"/>
                <w:b/>
                <w:i w:val="0"/>
                <w:color w:val="000000"/>
                <w:kern w:val="0"/>
                <w:sz w:val="18"/>
                <w:szCs w:val="18"/>
                <w:u w:val="none"/>
                <w:lang w:val="en-US" w:eastAsia="zh-CN" w:bidi="ar"/>
              </w:rPr>
              <w:t>总计</w:t>
            </w:r>
          </w:p>
        </w:tc>
        <w:tc>
          <w:tcPr>
            <w:tcW w:w="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16</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18"/>
                <w:szCs w:val="18"/>
                <w:u w:val="none"/>
                <w:lang w:val="en-US"/>
              </w:rPr>
            </w:pPr>
            <w:r>
              <w:rPr>
                <w:rFonts w:hint="eastAsia" w:cs="仿宋"/>
                <w:b/>
                <w:i w:val="0"/>
                <w:color w:val="000000"/>
                <w:kern w:val="0"/>
                <w:sz w:val="18"/>
                <w:szCs w:val="18"/>
                <w:u w:val="none"/>
                <w:lang w:val="en-US" w:eastAsia="zh-CN" w:bidi="ar"/>
              </w:rPr>
              <w:t>17265.78</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sz w:val="18"/>
                <w:szCs w:val="18"/>
                <w:u w:val="none"/>
              </w:rPr>
            </w:pPr>
            <w:r>
              <w:rPr>
                <w:rFonts w:hint="eastAsia" w:ascii="仿宋" w:hAnsi="仿宋" w:eastAsia="仿宋" w:cs="仿宋"/>
                <w:b/>
                <w:i w:val="0"/>
                <w:color w:val="000000"/>
                <w:kern w:val="0"/>
                <w:sz w:val="18"/>
                <w:szCs w:val="18"/>
                <w:u w:val="none"/>
                <w:lang w:val="en-US" w:eastAsia="zh-CN" w:bidi="ar"/>
              </w:rPr>
              <w:t>总计</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32</w:t>
            </w:r>
          </w:p>
        </w:tc>
        <w:tc>
          <w:tcPr>
            <w:tcW w:w="1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sz w:val="18"/>
                <w:szCs w:val="18"/>
                <w:u w:val="none"/>
              </w:rPr>
            </w:pPr>
            <w:r>
              <w:rPr>
                <w:rFonts w:hint="eastAsia" w:cs="仿宋"/>
                <w:b/>
                <w:i w:val="0"/>
                <w:color w:val="000000"/>
                <w:kern w:val="0"/>
                <w:sz w:val="18"/>
                <w:szCs w:val="18"/>
                <w:u w:val="none"/>
                <w:lang w:val="en-US" w:eastAsia="zh-CN" w:bidi="ar"/>
              </w:rPr>
              <w:t>17265.78</w:t>
            </w:r>
            <w:r>
              <w:rPr>
                <w:rFonts w:hint="eastAsia" w:ascii="仿宋" w:hAnsi="仿宋" w:eastAsia="仿宋" w:cs="仿宋"/>
                <w:b/>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713" w:type="dxa"/>
            <w:gridSpan w:val="6"/>
            <w:shd w:val="clear" w:color="auto" w:fill="auto"/>
            <w:vAlign w:val="center"/>
          </w:tcPr>
          <w:p>
            <w:pP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注：1.</w:t>
            </w:r>
            <w:r>
              <w:rPr>
                <w:rFonts w:hint="eastAsia" w:ascii="仿宋_GB2312" w:hAnsi="宋体" w:eastAsia="仿宋_GB2312"/>
                <w:sz w:val="20"/>
                <w:szCs w:val="20"/>
              </w:rPr>
              <w:t>本表反映部门本年度的总收支和年末结转结余情况。</w:t>
            </w:r>
          </w:p>
        </w:tc>
      </w:tr>
    </w:tbl>
    <w:p>
      <w:pPr>
        <w:spacing w:line="267" w:lineRule="auto"/>
        <w:ind w:left="-15" w:firstLine="281"/>
        <w:rPr>
          <w:vertAlign w:val="subscript"/>
        </w:rPr>
      </w:pPr>
    </w:p>
    <w:p>
      <w:pPr>
        <w:spacing w:line="267" w:lineRule="auto"/>
        <w:rPr>
          <w:vertAlign w:val="subscript"/>
        </w:rPr>
      </w:pPr>
    </w:p>
    <w:p>
      <w:pPr>
        <w:sectPr>
          <w:footerReference r:id="rId5" w:type="first"/>
          <w:footerReference r:id="rId3" w:type="default"/>
          <w:footerReference r:id="rId4" w:type="even"/>
          <w:pgSz w:w="11904" w:h="16840"/>
          <w:pgMar w:top="1745" w:right="1308" w:bottom="2198" w:left="1474" w:header="720" w:footer="720" w:gutter="0"/>
          <w:cols w:space="720" w:num="1"/>
          <w:titlePg/>
        </w:sectPr>
      </w:pPr>
    </w:p>
    <w:p>
      <w:pPr>
        <w:spacing w:after="0" w:line="259" w:lineRule="auto"/>
        <w:ind w:right="105"/>
        <w:jc w:val="center"/>
      </w:pPr>
      <w:r>
        <w:rPr>
          <w:rFonts w:ascii="黑体" w:hAnsi="黑体" w:eastAsia="黑体" w:cs="黑体"/>
        </w:rPr>
        <w:t xml:space="preserve">收入决算表 </w:t>
      </w:r>
    </w:p>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sz w:val="30"/>
        </w:rPr>
        <w:t xml:space="preserve">                                                                                  </w:t>
      </w:r>
      <w:r>
        <w:rPr>
          <w:sz w:val="30"/>
          <w:vertAlign w:val="subscript"/>
        </w:rPr>
        <w:t xml:space="preserve">     </w:t>
      </w:r>
      <w:r>
        <w:rPr>
          <w:rFonts w:hint="eastAsia"/>
          <w:sz w:val="30"/>
          <w:vertAlign w:val="subscript"/>
          <w:lang w:val="en-US" w:eastAsia="zh-CN"/>
        </w:rPr>
        <w:t xml:space="preserve">      </w:t>
      </w:r>
      <w:r>
        <w:rPr>
          <w:rFonts w:hint="eastAsia" w:ascii="仿宋" w:hAnsi="仿宋" w:eastAsia="仿宋" w:cs="仿宋"/>
          <w:i w:val="0"/>
          <w:color w:val="000000"/>
          <w:kern w:val="0"/>
          <w:sz w:val="18"/>
          <w:szCs w:val="18"/>
          <w:u w:val="none"/>
          <w:lang w:val="en-US" w:eastAsia="zh-CN" w:bidi="ar"/>
        </w:rPr>
        <w:t xml:space="preserve">公开02表  </w:t>
      </w:r>
    </w:p>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 xml:space="preserve">部门:菏泽市第二人民医院                                                                                                                     </w:t>
      </w:r>
      <w:r>
        <w:rPr>
          <w:rFonts w:hint="eastAsia" w:cs="仿宋"/>
          <w:i w:val="0"/>
          <w:color w:val="000000"/>
          <w:kern w:val="0"/>
          <w:sz w:val="18"/>
          <w:szCs w:val="18"/>
          <w:u w:val="none"/>
          <w:lang w:val="en-US" w:eastAsia="zh-CN" w:bidi="ar"/>
        </w:rPr>
        <w:t xml:space="preserve">  </w:t>
      </w:r>
      <w:r>
        <w:rPr>
          <w:rFonts w:hint="eastAsia" w:ascii="仿宋" w:hAnsi="仿宋" w:eastAsia="仿宋" w:cs="仿宋"/>
          <w:i w:val="0"/>
          <w:color w:val="000000"/>
          <w:kern w:val="0"/>
          <w:sz w:val="18"/>
          <w:szCs w:val="18"/>
          <w:u w:val="none"/>
          <w:lang w:val="en-US" w:eastAsia="zh-CN" w:bidi="ar"/>
        </w:rPr>
        <w:t>金额单位：万元</w:t>
      </w:r>
    </w:p>
    <w:tbl>
      <w:tblPr>
        <w:tblStyle w:val="16"/>
        <w:tblW w:w="142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34"/>
        <w:gridCol w:w="1080"/>
        <w:gridCol w:w="1080"/>
        <w:gridCol w:w="3525"/>
        <w:gridCol w:w="1616"/>
        <w:gridCol w:w="20"/>
        <w:gridCol w:w="1080"/>
        <w:gridCol w:w="1080"/>
        <w:gridCol w:w="1080"/>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5" w:hRule="atLeast"/>
        </w:trPr>
        <w:tc>
          <w:tcPr>
            <w:tcW w:w="259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科目编码</w:t>
            </w:r>
          </w:p>
        </w:tc>
        <w:tc>
          <w:tcPr>
            <w:tcW w:w="3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科目名称</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本年收入合计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财政拨款收入</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上级补助收入</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事业收入</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经营收入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附属单位</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上缴收入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3" w:hRule="atLeast"/>
        </w:trPr>
        <w:tc>
          <w:tcPr>
            <w:tcW w:w="43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类</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款</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项</w:t>
            </w:r>
          </w:p>
        </w:tc>
        <w:tc>
          <w:tcPr>
            <w:tcW w:w="3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栏次</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43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合计</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17265.78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149.95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16981.68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134.15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7" w:hRule="atLeast"/>
        </w:trPr>
        <w:tc>
          <w:tcPr>
            <w:tcW w:w="259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210</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医疗卫生与计划生育支出</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17265.78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149.95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16981.68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134.15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6" w:hRule="atLeast"/>
        </w:trPr>
        <w:tc>
          <w:tcPr>
            <w:tcW w:w="25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21002</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公立医院</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17244.83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129</w:t>
            </w:r>
            <w:r>
              <w:rPr>
                <w:rFonts w:hint="eastAsia" w:ascii="仿宋" w:hAnsi="仿宋" w:eastAsia="仿宋" w:cs="仿宋"/>
                <w:i w:val="0"/>
                <w:color w:val="000000"/>
                <w:kern w:val="0"/>
                <w:sz w:val="18"/>
                <w:szCs w:val="18"/>
                <w:u w:val="none"/>
                <w:lang w:val="en-US" w:eastAsia="zh-CN" w:bidi="ar"/>
              </w:rPr>
              <w:t>.00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16981.68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134.15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25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2100201</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w:t>
            </w:r>
            <w:r>
              <w:rPr>
                <w:rFonts w:hint="eastAsia" w:cs="仿宋"/>
                <w:i w:val="0"/>
                <w:color w:val="000000"/>
                <w:kern w:val="0"/>
                <w:sz w:val="18"/>
                <w:szCs w:val="18"/>
                <w:u w:val="none"/>
                <w:lang w:val="en-US" w:eastAsia="zh-CN" w:bidi="ar"/>
              </w:rPr>
              <w:t xml:space="preserve"> </w:t>
            </w:r>
            <w:r>
              <w:rPr>
                <w:rFonts w:hint="eastAsia" w:ascii="仿宋" w:hAnsi="仿宋" w:eastAsia="仿宋" w:cs="仿宋"/>
                <w:i w:val="0"/>
                <w:color w:val="000000"/>
                <w:kern w:val="0"/>
                <w:sz w:val="18"/>
                <w:szCs w:val="18"/>
                <w:u w:val="none"/>
                <w:lang w:val="en-US" w:eastAsia="zh-CN" w:bidi="ar"/>
              </w:rPr>
              <w:t>综合医院</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17155.83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40</w:t>
            </w:r>
            <w:r>
              <w:rPr>
                <w:rFonts w:hint="eastAsia" w:ascii="仿宋" w:hAnsi="仿宋" w:eastAsia="仿宋" w:cs="仿宋"/>
                <w:i w:val="0"/>
                <w:color w:val="000000"/>
                <w:kern w:val="0"/>
                <w:sz w:val="18"/>
                <w:szCs w:val="18"/>
                <w:u w:val="none"/>
                <w:lang w:val="en-US" w:eastAsia="zh-CN" w:bidi="ar"/>
              </w:rPr>
              <w:t>.00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16981.68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134.15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7" w:hRule="atLeast"/>
        </w:trPr>
        <w:tc>
          <w:tcPr>
            <w:tcW w:w="259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210</w:t>
            </w:r>
            <w:r>
              <w:rPr>
                <w:rFonts w:hint="eastAsia" w:cs="仿宋"/>
                <w:i w:val="0"/>
                <w:color w:val="000000"/>
                <w:kern w:val="0"/>
                <w:sz w:val="18"/>
                <w:szCs w:val="18"/>
                <w:u w:val="none"/>
                <w:lang w:val="en-US" w:eastAsia="zh-CN" w:bidi="ar"/>
              </w:rPr>
              <w:t>0299</w:t>
            </w:r>
          </w:p>
        </w:tc>
        <w:tc>
          <w:tcPr>
            <w:tcW w:w="3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w:t>
            </w:r>
            <w:r>
              <w:rPr>
                <w:rFonts w:hint="eastAsia" w:cs="仿宋"/>
                <w:i w:val="0"/>
                <w:color w:val="000000"/>
                <w:kern w:val="0"/>
                <w:sz w:val="18"/>
                <w:szCs w:val="18"/>
                <w:u w:val="none"/>
                <w:lang w:val="en-US" w:eastAsia="zh-CN" w:bidi="ar"/>
              </w:rPr>
              <w:t xml:space="preserve"> </w:t>
            </w:r>
            <w:r>
              <w:rPr>
                <w:rFonts w:hint="eastAsia" w:ascii="仿宋" w:hAnsi="仿宋" w:eastAsia="仿宋" w:cs="仿宋"/>
                <w:i w:val="0"/>
                <w:color w:val="000000"/>
                <w:kern w:val="0"/>
                <w:sz w:val="18"/>
                <w:szCs w:val="18"/>
                <w:u w:val="none"/>
                <w:lang w:val="en-US" w:eastAsia="zh-CN" w:bidi="ar"/>
              </w:rPr>
              <w:t>其他</w:t>
            </w:r>
            <w:r>
              <w:rPr>
                <w:rFonts w:hint="eastAsia" w:cs="仿宋"/>
                <w:i w:val="0"/>
                <w:color w:val="000000"/>
                <w:kern w:val="0"/>
                <w:sz w:val="18"/>
                <w:szCs w:val="18"/>
                <w:u w:val="none"/>
                <w:lang w:val="en-US" w:eastAsia="zh-CN" w:bidi="ar"/>
              </w:rPr>
              <w:t>公立医院支出</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89</w:t>
            </w:r>
            <w:r>
              <w:rPr>
                <w:rFonts w:hint="eastAsia" w:ascii="仿宋" w:hAnsi="仿宋" w:eastAsia="仿宋" w:cs="仿宋"/>
                <w:i w:val="0"/>
                <w:color w:val="000000"/>
                <w:kern w:val="0"/>
                <w:sz w:val="18"/>
                <w:szCs w:val="18"/>
                <w:u w:val="none"/>
                <w:lang w:val="en-US" w:eastAsia="zh-CN" w:bidi="ar"/>
              </w:rPr>
              <w:t>.00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89</w:t>
            </w:r>
            <w:r>
              <w:rPr>
                <w:rFonts w:hint="eastAsia" w:ascii="仿宋" w:hAnsi="仿宋" w:eastAsia="仿宋" w:cs="仿宋"/>
                <w:i w:val="0"/>
                <w:color w:val="000000"/>
                <w:kern w:val="0"/>
                <w:sz w:val="18"/>
                <w:szCs w:val="18"/>
                <w:u w:val="none"/>
                <w:lang w:val="en-US" w:eastAsia="zh-CN" w:bidi="ar"/>
              </w:rPr>
              <w:t>.00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259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rPr>
            </w:pPr>
            <w:r>
              <w:rPr>
                <w:rFonts w:hint="eastAsia" w:cs="仿宋"/>
                <w:i w:val="0"/>
                <w:color w:val="000000"/>
                <w:kern w:val="0"/>
                <w:sz w:val="18"/>
                <w:szCs w:val="18"/>
                <w:u w:val="none"/>
                <w:lang w:val="en-US" w:eastAsia="zh-CN" w:bidi="ar"/>
              </w:rPr>
              <w:t>21004</w:t>
            </w:r>
          </w:p>
        </w:tc>
        <w:tc>
          <w:tcPr>
            <w:tcW w:w="3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cs="仿宋"/>
                <w:i w:val="0"/>
                <w:color w:val="000000"/>
                <w:sz w:val="18"/>
                <w:szCs w:val="18"/>
                <w:u w:val="none"/>
                <w:lang w:eastAsia="zh-CN"/>
              </w:rPr>
              <w:t>公共卫生</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0.95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0.95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3" w:hRule="atLeast"/>
        </w:trPr>
        <w:tc>
          <w:tcPr>
            <w:tcW w:w="259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cs="仿宋"/>
                <w:i w:val="0"/>
                <w:color w:val="000000"/>
                <w:kern w:val="0"/>
                <w:sz w:val="18"/>
                <w:szCs w:val="18"/>
                <w:u w:val="none"/>
                <w:lang w:val="en-US" w:eastAsia="zh-CN" w:bidi="ar"/>
              </w:rPr>
            </w:pPr>
            <w:r>
              <w:rPr>
                <w:rFonts w:hint="eastAsia" w:cs="仿宋"/>
                <w:i w:val="0"/>
                <w:color w:val="000000"/>
                <w:kern w:val="0"/>
                <w:sz w:val="18"/>
                <w:szCs w:val="18"/>
                <w:u w:val="none"/>
                <w:lang w:val="en-US" w:eastAsia="zh-CN" w:bidi="ar"/>
              </w:rPr>
              <w:t>2100409</w:t>
            </w:r>
          </w:p>
        </w:tc>
        <w:tc>
          <w:tcPr>
            <w:tcW w:w="3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cs="仿宋"/>
                <w:i w:val="0"/>
                <w:color w:val="000000"/>
                <w:sz w:val="18"/>
                <w:szCs w:val="18"/>
                <w:u w:val="none"/>
                <w:lang w:val="en-US" w:eastAsia="zh-CN"/>
              </w:rPr>
            </w:pPr>
            <w:r>
              <w:rPr>
                <w:rFonts w:hint="eastAsia" w:cs="仿宋"/>
                <w:i w:val="0"/>
                <w:color w:val="000000"/>
                <w:sz w:val="18"/>
                <w:szCs w:val="18"/>
                <w:u w:val="none"/>
                <w:lang w:val="en-US" w:eastAsia="zh-CN"/>
              </w:rPr>
              <w:t xml:space="preserve">  重大公共卫生专项</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s="仿宋"/>
                <w:i w:val="0"/>
                <w:color w:val="000000"/>
                <w:kern w:val="0"/>
                <w:sz w:val="18"/>
                <w:szCs w:val="18"/>
                <w:u w:val="none"/>
                <w:lang w:val="en-US" w:eastAsia="zh-CN" w:bidi="ar"/>
              </w:rPr>
            </w:pPr>
            <w:r>
              <w:rPr>
                <w:rFonts w:hint="eastAsia" w:cs="仿宋"/>
                <w:i w:val="0"/>
                <w:color w:val="000000"/>
                <w:kern w:val="0"/>
                <w:sz w:val="18"/>
                <w:szCs w:val="18"/>
                <w:u w:val="none"/>
                <w:lang w:val="en-US" w:eastAsia="zh-CN" w:bidi="ar"/>
              </w:rPr>
              <w:t>0.95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s="仿宋"/>
                <w:i w:val="0"/>
                <w:color w:val="000000"/>
                <w:kern w:val="0"/>
                <w:sz w:val="18"/>
                <w:szCs w:val="18"/>
                <w:u w:val="none"/>
                <w:lang w:val="en-US" w:eastAsia="zh-CN" w:bidi="ar"/>
              </w:rPr>
            </w:pPr>
            <w:r>
              <w:rPr>
                <w:rFonts w:hint="eastAsia" w:cs="仿宋"/>
                <w:i w:val="0"/>
                <w:color w:val="000000"/>
                <w:kern w:val="0"/>
                <w:sz w:val="18"/>
                <w:szCs w:val="18"/>
                <w:u w:val="none"/>
                <w:lang w:val="en-US" w:eastAsia="zh-CN" w:bidi="ar"/>
              </w:rPr>
              <w:t>0.95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6" w:hRule="atLeast"/>
        </w:trPr>
        <w:tc>
          <w:tcPr>
            <w:tcW w:w="259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cs="仿宋"/>
                <w:i w:val="0"/>
                <w:color w:val="000000"/>
                <w:kern w:val="0"/>
                <w:sz w:val="18"/>
                <w:szCs w:val="18"/>
                <w:u w:val="none"/>
                <w:lang w:val="en-US" w:eastAsia="zh-CN" w:bidi="ar"/>
              </w:rPr>
            </w:pPr>
            <w:r>
              <w:rPr>
                <w:rFonts w:hint="eastAsia" w:cs="仿宋"/>
                <w:i w:val="0"/>
                <w:color w:val="000000"/>
                <w:kern w:val="0"/>
                <w:sz w:val="18"/>
                <w:szCs w:val="18"/>
                <w:u w:val="none"/>
                <w:lang w:val="en-US" w:eastAsia="zh-CN" w:bidi="ar"/>
              </w:rPr>
              <w:t>21099</w:t>
            </w:r>
          </w:p>
        </w:tc>
        <w:tc>
          <w:tcPr>
            <w:tcW w:w="3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cs="仿宋"/>
                <w:i w:val="0"/>
                <w:color w:val="000000"/>
                <w:sz w:val="18"/>
                <w:szCs w:val="18"/>
                <w:u w:val="none"/>
                <w:lang w:val="en-US" w:eastAsia="zh-CN"/>
              </w:rPr>
            </w:pPr>
            <w:r>
              <w:rPr>
                <w:rFonts w:hint="eastAsia" w:cs="仿宋"/>
                <w:i w:val="0"/>
                <w:color w:val="000000"/>
                <w:sz w:val="18"/>
                <w:szCs w:val="18"/>
                <w:u w:val="none"/>
                <w:lang w:val="en-US" w:eastAsia="zh-CN"/>
              </w:rPr>
              <w:t>其他医疗卫生与计划生育支出</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s="仿宋"/>
                <w:i w:val="0"/>
                <w:color w:val="000000"/>
                <w:kern w:val="0"/>
                <w:sz w:val="18"/>
                <w:szCs w:val="18"/>
                <w:u w:val="none"/>
                <w:lang w:val="en-US" w:eastAsia="zh-CN" w:bidi="ar"/>
              </w:rPr>
            </w:pPr>
            <w:r>
              <w:rPr>
                <w:rFonts w:hint="eastAsia" w:cs="仿宋"/>
                <w:i w:val="0"/>
                <w:color w:val="000000"/>
                <w:kern w:val="0"/>
                <w:sz w:val="18"/>
                <w:szCs w:val="18"/>
                <w:u w:val="none"/>
                <w:lang w:val="en-US" w:eastAsia="zh-CN" w:bidi="ar"/>
              </w:rPr>
              <w:t>20.00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s="仿宋"/>
                <w:i w:val="0"/>
                <w:color w:val="000000"/>
                <w:kern w:val="0"/>
                <w:sz w:val="18"/>
                <w:szCs w:val="18"/>
                <w:u w:val="none"/>
                <w:lang w:val="en-US" w:eastAsia="zh-CN" w:bidi="ar"/>
              </w:rPr>
            </w:pPr>
            <w:r>
              <w:rPr>
                <w:rFonts w:hint="eastAsia" w:cs="仿宋"/>
                <w:i w:val="0"/>
                <w:color w:val="000000"/>
                <w:kern w:val="0"/>
                <w:sz w:val="18"/>
                <w:szCs w:val="18"/>
                <w:u w:val="none"/>
                <w:lang w:val="en-US" w:eastAsia="zh-CN" w:bidi="ar"/>
              </w:rPr>
              <w:t>20.00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6" w:hRule="atLeast"/>
        </w:trPr>
        <w:tc>
          <w:tcPr>
            <w:tcW w:w="259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cs="仿宋"/>
                <w:i w:val="0"/>
                <w:color w:val="000000"/>
                <w:kern w:val="0"/>
                <w:sz w:val="18"/>
                <w:szCs w:val="18"/>
                <w:u w:val="none"/>
                <w:lang w:val="en-US" w:eastAsia="zh-CN" w:bidi="ar"/>
              </w:rPr>
            </w:pPr>
            <w:r>
              <w:rPr>
                <w:rFonts w:hint="eastAsia" w:cs="仿宋"/>
                <w:i w:val="0"/>
                <w:color w:val="000000"/>
                <w:kern w:val="0"/>
                <w:sz w:val="18"/>
                <w:szCs w:val="18"/>
                <w:u w:val="none"/>
                <w:lang w:val="en-US" w:eastAsia="zh-CN" w:bidi="ar"/>
              </w:rPr>
              <w:t>2109901</w:t>
            </w:r>
          </w:p>
        </w:tc>
        <w:tc>
          <w:tcPr>
            <w:tcW w:w="3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cs="仿宋"/>
                <w:i w:val="0"/>
                <w:color w:val="000000"/>
                <w:sz w:val="18"/>
                <w:szCs w:val="18"/>
                <w:u w:val="none"/>
                <w:lang w:val="en-US" w:eastAsia="zh-CN"/>
              </w:rPr>
            </w:pPr>
            <w:r>
              <w:rPr>
                <w:rFonts w:hint="eastAsia" w:cs="仿宋"/>
                <w:i w:val="0"/>
                <w:color w:val="000000"/>
                <w:sz w:val="18"/>
                <w:szCs w:val="18"/>
                <w:u w:val="none"/>
                <w:lang w:val="en-US" w:eastAsia="zh-CN"/>
              </w:rPr>
              <w:t xml:space="preserve">  其他医疗卫生与计划生育支出</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s="仿宋"/>
                <w:i w:val="0"/>
                <w:color w:val="000000"/>
                <w:kern w:val="0"/>
                <w:sz w:val="18"/>
                <w:szCs w:val="18"/>
                <w:u w:val="none"/>
                <w:lang w:val="en-US" w:eastAsia="zh-CN" w:bidi="ar"/>
              </w:rPr>
            </w:pPr>
            <w:r>
              <w:rPr>
                <w:rFonts w:hint="eastAsia" w:cs="仿宋"/>
                <w:i w:val="0"/>
                <w:color w:val="000000"/>
                <w:kern w:val="0"/>
                <w:sz w:val="18"/>
                <w:szCs w:val="18"/>
                <w:u w:val="none"/>
                <w:lang w:val="en-US" w:eastAsia="zh-CN" w:bidi="ar"/>
              </w:rPr>
              <w:t>20.00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s="仿宋"/>
                <w:i w:val="0"/>
                <w:color w:val="000000"/>
                <w:kern w:val="0"/>
                <w:sz w:val="18"/>
                <w:szCs w:val="18"/>
                <w:u w:val="none"/>
                <w:lang w:val="en-US" w:eastAsia="zh-CN" w:bidi="ar"/>
              </w:rPr>
            </w:pPr>
            <w:r>
              <w:rPr>
                <w:rFonts w:hint="eastAsia" w:cs="仿宋"/>
                <w:i w:val="0"/>
                <w:color w:val="000000"/>
                <w:kern w:val="0"/>
                <w:sz w:val="18"/>
                <w:szCs w:val="18"/>
                <w:u w:val="none"/>
                <w:lang w:val="en-US" w:eastAsia="zh-CN" w:bidi="ar"/>
              </w:rPr>
              <w:t>20.00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7"/>
          <w:wAfter w:w="6500" w:type="dxa"/>
          <w:trHeight w:val="345" w:hRule="atLeast"/>
        </w:trPr>
        <w:tc>
          <w:tcPr>
            <w:tcW w:w="7735" w:type="dxa"/>
            <w:gridSpan w:val="5"/>
            <w:shd w:val="clear" w:color="auto" w:fill="auto"/>
            <w:vAlign w:val="center"/>
          </w:tcPr>
          <w:p>
            <w:pP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注</w:t>
            </w:r>
            <w:r>
              <w:rPr>
                <w:rFonts w:hint="eastAsia" w:cs="仿宋"/>
                <w:i w:val="0"/>
                <w:color w:val="000000"/>
                <w:kern w:val="0"/>
                <w:sz w:val="18"/>
                <w:szCs w:val="18"/>
                <w:u w:val="none"/>
                <w:lang w:val="en-US" w:eastAsia="zh-CN" w:bidi="ar"/>
              </w:rPr>
              <w:t>：</w:t>
            </w:r>
            <w:r>
              <w:rPr>
                <w:rFonts w:hint="eastAsia" w:cs="仿宋"/>
                <w:i w:val="0"/>
                <w:color w:val="000000"/>
                <w:sz w:val="18"/>
                <w:szCs w:val="18"/>
                <w:u w:val="none"/>
                <w:lang w:val="en-US" w:eastAsia="zh-CN"/>
              </w:rPr>
              <w:t>本表反映部门本年度取得的各项收入情况。</w:t>
            </w:r>
          </w:p>
        </w:tc>
      </w:tr>
    </w:tbl>
    <w:p>
      <w:pPr>
        <w:spacing w:after="0" w:line="259" w:lineRule="auto"/>
        <w:ind w:left="0" w:leftChars="0" w:right="105" w:firstLine="0" w:firstLineChars="0"/>
        <w:jc w:val="both"/>
        <w:rPr>
          <w:rFonts w:ascii="黑体" w:hAnsi="黑体" w:eastAsia="黑体" w:cs="黑体"/>
        </w:rPr>
      </w:pPr>
    </w:p>
    <w:p>
      <w:pPr>
        <w:spacing w:after="0" w:line="259" w:lineRule="auto"/>
        <w:ind w:left="0" w:leftChars="0" w:right="105" w:firstLine="0" w:firstLineChars="0"/>
        <w:jc w:val="center"/>
        <w:rPr>
          <w:rFonts w:ascii="黑体" w:hAnsi="黑体" w:eastAsia="黑体" w:cs="黑体"/>
        </w:rPr>
      </w:pPr>
    </w:p>
    <w:p>
      <w:pPr>
        <w:spacing w:after="0" w:line="259" w:lineRule="auto"/>
        <w:ind w:left="0" w:leftChars="0" w:right="105" w:firstLine="0" w:firstLineChars="0"/>
        <w:jc w:val="center"/>
        <w:rPr>
          <w:rFonts w:ascii="黑体" w:hAnsi="黑体" w:eastAsia="黑体" w:cs="黑体"/>
        </w:rPr>
      </w:pPr>
    </w:p>
    <w:p>
      <w:pPr>
        <w:spacing w:after="0" w:line="259" w:lineRule="auto"/>
        <w:ind w:left="0" w:leftChars="0" w:right="105" w:firstLine="0" w:firstLineChars="0"/>
        <w:jc w:val="center"/>
        <w:rPr>
          <w:rFonts w:ascii="黑体" w:hAnsi="黑体" w:eastAsia="黑体" w:cs="黑体"/>
        </w:rPr>
      </w:pPr>
    </w:p>
    <w:p>
      <w:pPr>
        <w:spacing w:after="0" w:line="259" w:lineRule="auto"/>
        <w:ind w:left="0" w:leftChars="0" w:right="105" w:firstLine="0" w:firstLineChars="0"/>
        <w:jc w:val="center"/>
      </w:pPr>
      <w:r>
        <w:rPr>
          <w:rFonts w:ascii="黑体" w:hAnsi="黑体" w:eastAsia="黑体" w:cs="黑体"/>
        </w:rPr>
        <w:t>支出决算表</w:t>
      </w:r>
    </w:p>
    <w:p>
      <w:pPr>
        <w:spacing w:line="267" w:lineRule="auto"/>
        <w:ind w:left="-5"/>
      </w:pPr>
      <w:r>
        <w:rPr>
          <w:sz w:val="21"/>
        </w:rPr>
        <w:t xml:space="preserve">                                                                                                                       公开03表 </w:t>
      </w:r>
    </w:p>
    <w:p>
      <w:pPr>
        <w:spacing w:line="267" w:lineRule="auto"/>
        <w:ind w:left="-5"/>
        <w:rPr>
          <w:sz w:val="21"/>
        </w:rPr>
      </w:pPr>
      <w:r>
        <w:rPr>
          <w:sz w:val="21"/>
        </w:rPr>
        <w:t>部门：</w:t>
      </w:r>
      <w:r>
        <w:rPr>
          <w:rFonts w:hint="eastAsia"/>
          <w:sz w:val="21"/>
          <w:lang w:eastAsia="zh-CN"/>
        </w:rPr>
        <w:t>菏泽市第二人民医院</w:t>
      </w:r>
      <w:r>
        <w:rPr>
          <w:sz w:val="21"/>
        </w:rPr>
        <w:t xml:space="preserve">                                                                                          金额单位：万元</w:t>
      </w:r>
    </w:p>
    <w:tbl>
      <w:tblPr>
        <w:tblStyle w:val="16"/>
        <w:tblW w:w="133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60"/>
        <w:gridCol w:w="1051"/>
        <w:gridCol w:w="1051"/>
        <w:gridCol w:w="3417"/>
        <w:gridCol w:w="1839"/>
        <w:gridCol w:w="1069"/>
        <w:gridCol w:w="1052"/>
        <w:gridCol w:w="1052"/>
        <w:gridCol w:w="1052"/>
        <w:gridCol w:w="10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54" w:hRule="atLeast"/>
        </w:trPr>
        <w:tc>
          <w:tcPr>
            <w:tcW w:w="286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科目编码</w:t>
            </w:r>
          </w:p>
        </w:tc>
        <w:tc>
          <w:tcPr>
            <w:tcW w:w="3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科目名称</w:t>
            </w:r>
          </w:p>
        </w:tc>
        <w:tc>
          <w:tcPr>
            <w:tcW w:w="1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本年支出合计</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基本支出</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项目支出</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上缴上级支出</w:t>
            </w:r>
          </w:p>
        </w:tc>
        <w:tc>
          <w:tcPr>
            <w:tcW w:w="10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经营支出</w:t>
            </w:r>
          </w:p>
        </w:tc>
        <w:tc>
          <w:tcPr>
            <w:tcW w:w="10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4" w:hRule="atLeast"/>
        </w:trPr>
        <w:tc>
          <w:tcPr>
            <w:tcW w:w="7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类</w:t>
            </w:r>
          </w:p>
        </w:tc>
        <w:tc>
          <w:tcPr>
            <w:tcW w:w="105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款</w:t>
            </w:r>
          </w:p>
        </w:tc>
        <w:tc>
          <w:tcPr>
            <w:tcW w:w="105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项</w:t>
            </w:r>
          </w:p>
        </w:tc>
        <w:tc>
          <w:tcPr>
            <w:tcW w:w="3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栏次</w:t>
            </w:r>
          </w:p>
        </w:tc>
        <w:tc>
          <w:tcPr>
            <w:tcW w:w="1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w:t>
            </w:r>
          </w:p>
        </w:tc>
        <w:tc>
          <w:tcPr>
            <w:tcW w:w="10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w:t>
            </w:r>
          </w:p>
        </w:tc>
        <w:tc>
          <w:tcPr>
            <w:tcW w:w="10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w:t>
            </w:r>
          </w:p>
        </w:tc>
        <w:tc>
          <w:tcPr>
            <w:tcW w:w="10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w:t>
            </w:r>
          </w:p>
        </w:tc>
        <w:tc>
          <w:tcPr>
            <w:tcW w:w="10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5" w:hRule="atLeast"/>
        </w:trPr>
        <w:tc>
          <w:tcPr>
            <w:tcW w:w="7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p>
        </w:tc>
        <w:tc>
          <w:tcPr>
            <w:tcW w:w="3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合计</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17265.78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17265.78</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28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210</w:t>
            </w:r>
          </w:p>
        </w:tc>
        <w:tc>
          <w:tcPr>
            <w:tcW w:w="3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医疗卫生与计划生育支出</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17265.78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17265.78</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6" w:hRule="atLeast"/>
        </w:trPr>
        <w:tc>
          <w:tcPr>
            <w:tcW w:w="28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21002</w:t>
            </w:r>
          </w:p>
        </w:tc>
        <w:tc>
          <w:tcPr>
            <w:tcW w:w="3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公立医院</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17244.83</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17244.83</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4" w:hRule="atLeast"/>
        </w:trPr>
        <w:tc>
          <w:tcPr>
            <w:tcW w:w="28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2100201</w:t>
            </w:r>
          </w:p>
        </w:tc>
        <w:tc>
          <w:tcPr>
            <w:tcW w:w="3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综合医院</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17155.83</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17155.83</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286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210</w:t>
            </w:r>
            <w:r>
              <w:rPr>
                <w:rFonts w:hint="eastAsia" w:cs="仿宋"/>
                <w:i w:val="0"/>
                <w:color w:val="000000"/>
                <w:kern w:val="0"/>
                <w:sz w:val="18"/>
                <w:szCs w:val="18"/>
                <w:u w:val="none"/>
                <w:lang w:val="en-US" w:eastAsia="zh-CN" w:bidi="ar"/>
              </w:rPr>
              <w:t>0299</w:t>
            </w:r>
          </w:p>
        </w:tc>
        <w:tc>
          <w:tcPr>
            <w:tcW w:w="3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其他</w:t>
            </w:r>
            <w:r>
              <w:rPr>
                <w:rFonts w:hint="eastAsia" w:cs="仿宋"/>
                <w:i w:val="0"/>
                <w:color w:val="000000"/>
                <w:kern w:val="0"/>
                <w:sz w:val="18"/>
                <w:szCs w:val="18"/>
                <w:u w:val="none"/>
                <w:lang w:val="en-US" w:eastAsia="zh-CN" w:bidi="ar"/>
              </w:rPr>
              <w:t>公立医院支出</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89.00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89.00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286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210</w:t>
            </w:r>
            <w:r>
              <w:rPr>
                <w:rFonts w:hint="eastAsia" w:cs="仿宋"/>
                <w:i w:val="0"/>
                <w:color w:val="000000"/>
                <w:kern w:val="0"/>
                <w:sz w:val="18"/>
                <w:szCs w:val="18"/>
                <w:u w:val="none"/>
                <w:lang w:val="en-US" w:eastAsia="zh-CN" w:bidi="ar"/>
              </w:rPr>
              <w:t>04</w:t>
            </w:r>
          </w:p>
        </w:tc>
        <w:tc>
          <w:tcPr>
            <w:tcW w:w="3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公共卫生</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lang w:val="en-US"/>
              </w:rPr>
            </w:pPr>
            <w:r>
              <w:rPr>
                <w:rFonts w:hint="eastAsia" w:cs="仿宋"/>
                <w:i w:val="0"/>
                <w:color w:val="000000"/>
                <w:kern w:val="0"/>
                <w:sz w:val="18"/>
                <w:szCs w:val="18"/>
                <w:u w:val="none"/>
                <w:lang w:val="en-US" w:eastAsia="zh-CN" w:bidi="ar"/>
              </w:rPr>
              <w:t>0.95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0.95</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4" w:hRule="atLeast"/>
        </w:trPr>
        <w:tc>
          <w:tcPr>
            <w:tcW w:w="286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仿宋" w:hAnsi="仿宋" w:eastAsia="仿宋" w:cs="仿宋"/>
                <w:i w:val="0"/>
                <w:color w:val="000000"/>
                <w:sz w:val="18"/>
                <w:szCs w:val="18"/>
                <w:u w:val="none"/>
                <w:lang w:val="en-US" w:eastAsia="zh-CN"/>
              </w:rPr>
            </w:pPr>
            <w:r>
              <w:rPr>
                <w:rFonts w:hint="eastAsia" w:cs="仿宋"/>
                <w:i w:val="0"/>
                <w:color w:val="000000"/>
                <w:sz w:val="18"/>
                <w:szCs w:val="18"/>
                <w:u w:val="none"/>
                <w:lang w:val="en-US" w:eastAsia="zh-CN"/>
              </w:rPr>
              <w:t>2100409</w:t>
            </w:r>
          </w:p>
        </w:tc>
        <w:tc>
          <w:tcPr>
            <w:tcW w:w="3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仿宋" w:hAnsi="仿宋" w:eastAsia="仿宋" w:cs="仿宋"/>
                <w:i w:val="0"/>
                <w:color w:val="000000"/>
                <w:sz w:val="18"/>
                <w:szCs w:val="18"/>
                <w:u w:val="none"/>
                <w:lang w:val="en-US" w:eastAsia="zh-CN"/>
              </w:rPr>
            </w:pPr>
            <w:r>
              <w:rPr>
                <w:rFonts w:hint="eastAsia" w:cs="仿宋"/>
                <w:i w:val="0"/>
                <w:color w:val="000000"/>
                <w:sz w:val="18"/>
                <w:szCs w:val="18"/>
                <w:u w:val="none"/>
                <w:lang w:val="en-US" w:eastAsia="zh-CN"/>
              </w:rPr>
              <w:t xml:space="preserve">  重大公共卫生专项</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lang w:val="en-US" w:eastAsia="zh-CN"/>
              </w:rPr>
            </w:pPr>
            <w:r>
              <w:rPr>
                <w:rFonts w:hint="eastAsia" w:cs="仿宋"/>
                <w:i w:val="0"/>
                <w:color w:val="000000"/>
                <w:sz w:val="18"/>
                <w:szCs w:val="18"/>
                <w:u w:val="none"/>
                <w:lang w:val="en-US" w:eastAsia="zh-CN"/>
              </w:rPr>
              <w:t>0.95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lang w:val="en-US" w:eastAsia="zh-CN"/>
              </w:rPr>
            </w:pPr>
            <w:r>
              <w:rPr>
                <w:rFonts w:hint="eastAsia" w:cs="仿宋"/>
                <w:i w:val="0"/>
                <w:color w:val="000000"/>
                <w:sz w:val="18"/>
                <w:szCs w:val="18"/>
                <w:u w:val="none"/>
                <w:lang w:val="en-US" w:eastAsia="zh-CN"/>
              </w:rPr>
              <w:t>0.95</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1" w:hRule="atLeast"/>
        </w:trPr>
        <w:tc>
          <w:tcPr>
            <w:tcW w:w="286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cs="仿宋"/>
                <w:i w:val="0"/>
                <w:color w:val="000000"/>
                <w:sz w:val="18"/>
                <w:szCs w:val="18"/>
                <w:u w:val="none"/>
                <w:lang w:val="en-US" w:eastAsia="zh-CN"/>
              </w:rPr>
            </w:pPr>
            <w:r>
              <w:rPr>
                <w:rFonts w:hint="eastAsia" w:cs="仿宋"/>
                <w:i w:val="0"/>
                <w:color w:val="000000"/>
                <w:sz w:val="18"/>
                <w:szCs w:val="18"/>
                <w:u w:val="none"/>
                <w:lang w:val="en-US" w:eastAsia="zh-CN"/>
              </w:rPr>
              <w:t>21099</w:t>
            </w:r>
          </w:p>
        </w:tc>
        <w:tc>
          <w:tcPr>
            <w:tcW w:w="3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cs="仿宋"/>
                <w:i w:val="0"/>
                <w:color w:val="000000"/>
                <w:sz w:val="18"/>
                <w:szCs w:val="18"/>
                <w:u w:val="none"/>
                <w:lang w:val="en-US" w:eastAsia="zh-CN"/>
              </w:rPr>
            </w:pPr>
            <w:r>
              <w:rPr>
                <w:rFonts w:hint="eastAsia" w:cs="仿宋"/>
                <w:i w:val="0"/>
                <w:color w:val="000000"/>
                <w:sz w:val="18"/>
                <w:szCs w:val="18"/>
                <w:u w:val="none"/>
                <w:lang w:val="en-US" w:eastAsia="zh-CN"/>
              </w:rPr>
              <w:t>其他医疗卫生与计划生育支出</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仿宋"/>
                <w:i w:val="0"/>
                <w:color w:val="000000"/>
                <w:sz w:val="18"/>
                <w:szCs w:val="18"/>
                <w:u w:val="none"/>
                <w:lang w:val="en-US" w:eastAsia="zh-CN"/>
              </w:rPr>
            </w:pPr>
            <w:r>
              <w:rPr>
                <w:rFonts w:hint="eastAsia" w:cs="仿宋"/>
                <w:i w:val="0"/>
                <w:color w:val="000000"/>
                <w:sz w:val="18"/>
                <w:szCs w:val="18"/>
                <w:u w:val="none"/>
                <w:lang w:val="en-US" w:eastAsia="zh-CN"/>
              </w:rPr>
              <w:t>20.00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仿宋"/>
                <w:i w:val="0"/>
                <w:color w:val="000000"/>
                <w:sz w:val="18"/>
                <w:szCs w:val="18"/>
                <w:u w:val="none"/>
                <w:lang w:val="en-US" w:eastAsia="zh-CN"/>
              </w:rPr>
            </w:pPr>
            <w:r>
              <w:rPr>
                <w:rFonts w:hint="eastAsia" w:cs="仿宋"/>
                <w:i w:val="0"/>
                <w:color w:val="000000"/>
                <w:sz w:val="18"/>
                <w:szCs w:val="18"/>
                <w:u w:val="none"/>
                <w:lang w:val="en-US" w:eastAsia="zh-CN"/>
              </w:rPr>
              <w:t>20.00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3" w:hRule="atLeast"/>
        </w:trPr>
        <w:tc>
          <w:tcPr>
            <w:tcW w:w="286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cs="仿宋"/>
                <w:i w:val="0"/>
                <w:color w:val="000000"/>
                <w:sz w:val="18"/>
                <w:szCs w:val="18"/>
                <w:u w:val="none"/>
                <w:lang w:val="en-US" w:eastAsia="zh-CN"/>
              </w:rPr>
            </w:pPr>
            <w:r>
              <w:rPr>
                <w:rFonts w:hint="eastAsia" w:cs="仿宋"/>
                <w:i w:val="0"/>
                <w:color w:val="000000"/>
                <w:sz w:val="18"/>
                <w:szCs w:val="18"/>
                <w:u w:val="none"/>
                <w:lang w:val="en-US" w:eastAsia="zh-CN"/>
              </w:rPr>
              <w:t>2109901</w:t>
            </w:r>
          </w:p>
        </w:tc>
        <w:tc>
          <w:tcPr>
            <w:tcW w:w="3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cs="仿宋"/>
                <w:i w:val="0"/>
                <w:color w:val="000000"/>
                <w:sz w:val="18"/>
                <w:szCs w:val="18"/>
                <w:u w:val="none"/>
                <w:lang w:val="en-US" w:eastAsia="zh-CN"/>
              </w:rPr>
            </w:pPr>
            <w:r>
              <w:rPr>
                <w:rFonts w:hint="eastAsia" w:cs="仿宋"/>
                <w:i w:val="0"/>
                <w:color w:val="000000"/>
                <w:sz w:val="18"/>
                <w:szCs w:val="18"/>
                <w:u w:val="none"/>
                <w:lang w:val="en-US" w:eastAsia="zh-CN"/>
              </w:rPr>
              <w:t xml:space="preserve">  其他医疗卫生与计划生育支出</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仿宋"/>
                <w:i w:val="0"/>
                <w:color w:val="000000"/>
                <w:sz w:val="18"/>
                <w:szCs w:val="18"/>
                <w:u w:val="none"/>
                <w:lang w:val="en-US" w:eastAsia="zh-CN"/>
              </w:rPr>
            </w:pPr>
            <w:r>
              <w:rPr>
                <w:rFonts w:hint="eastAsia" w:cs="仿宋"/>
                <w:i w:val="0"/>
                <w:color w:val="000000"/>
                <w:sz w:val="18"/>
                <w:szCs w:val="18"/>
                <w:u w:val="none"/>
                <w:lang w:val="en-US" w:eastAsia="zh-CN"/>
              </w:rPr>
              <w:t>20.00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仿宋"/>
                <w:i w:val="0"/>
                <w:color w:val="000000"/>
                <w:sz w:val="18"/>
                <w:szCs w:val="18"/>
                <w:u w:val="none"/>
                <w:lang w:val="en-US" w:eastAsia="zh-CN"/>
              </w:rPr>
            </w:pPr>
            <w:r>
              <w:rPr>
                <w:rFonts w:hint="eastAsia" w:cs="仿宋"/>
                <w:i w:val="0"/>
                <w:color w:val="000000"/>
                <w:sz w:val="18"/>
                <w:szCs w:val="18"/>
                <w:u w:val="none"/>
                <w:lang w:val="en-US" w:eastAsia="zh-CN"/>
              </w:rPr>
              <w:t>20.00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395" w:type="dxa"/>
            <w:gridSpan w:val="10"/>
            <w:shd w:val="clear" w:color="auto" w:fill="auto"/>
            <w:vAlign w:val="center"/>
          </w:tcPr>
          <w:p>
            <w:pPr>
              <w:jc w:val="left"/>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注：本表反映部门本年度各项支出情况。</w:t>
            </w:r>
          </w:p>
        </w:tc>
      </w:tr>
    </w:tbl>
    <w:p>
      <w:pPr>
        <w:spacing w:after="0" w:line="259" w:lineRule="auto"/>
        <w:ind w:left="0" w:leftChars="0" w:right="106" w:firstLine="0" w:firstLineChars="0"/>
        <w:jc w:val="center"/>
        <w:rPr>
          <w:rFonts w:ascii="黑体" w:hAnsi="黑体" w:eastAsia="黑体" w:cs="黑体"/>
        </w:rPr>
      </w:pPr>
    </w:p>
    <w:p>
      <w:pPr>
        <w:spacing w:after="0" w:line="259" w:lineRule="auto"/>
        <w:ind w:left="0" w:leftChars="0" w:right="106" w:firstLine="0" w:firstLineChars="0"/>
        <w:jc w:val="center"/>
        <w:rPr>
          <w:rFonts w:ascii="黑体" w:hAnsi="黑体" w:eastAsia="黑体" w:cs="黑体"/>
        </w:rPr>
      </w:pPr>
    </w:p>
    <w:p>
      <w:pPr>
        <w:spacing w:after="0" w:line="259" w:lineRule="auto"/>
        <w:ind w:left="0" w:leftChars="0" w:right="106" w:firstLine="0" w:firstLineChars="0"/>
        <w:jc w:val="center"/>
        <w:rPr>
          <w:rFonts w:ascii="黑体" w:hAnsi="黑体" w:eastAsia="黑体" w:cs="黑体"/>
        </w:rPr>
      </w:pPr>
    </w:p>
    <w:p>
      <w:pPr>
        <w:spacing w:after="0" w:line="259" w:lineRule="auto"/>
        <w:ind w:left="0" w:leftChars="0" w:right="106" w:firstLine="0" w:firstLineChars="0"/>
        <w:jc w:val="center"/>
        <w:rPr>
          <w:rFonts w:ascii="黑体" w:hAnsi="黑体" w:eastAsia="黑体" w:cs="黑体"/>
        </w:rPr>
      </w:pPr>
    </w:p>
    <w:p>
      <w:pPr>
        <w:spacing w:after="0" w:line="259" w:lineRule="auto"/>
        <w:ind w:left="0" w:leftChars="0" w:right="106" w:firstLine="0" w:firstLineChars="0"/>
        <w:jc w:val="center"/>
        <w:rPr>
          <w:rFonts w:ascii="黑体" w:hAnsi="黑体" w:eastAsia="黑体" w:cs="黑体"/>
        </w:rPr>
      </w:pPr>
    </w:p>
    <w:p>
      <w:pPr>
        <w:spacing w:after="0" w:line="259" w:lineRule="auto"/>
        <w:ind w:left="0" w:leftChars="0" w:right="106" w:firstLine="0" w:firstLineChars="0"/>
        <w:jc w:val="center"/>
      </w:pPr>
      <w:r>
        <w:rPr>
          <w:rFonts w:ascii="黑体" w:hAnsi="黑体" w:eastAsia="黑体" w:cs="黑体"/>
        </w:rPr>
        <w:t>财政拨款收入支出决算总表</w:t>
      </w:r>
    </w:p>
    <w:p>
      <w:pPr>
        <w:spacing w:line="267" w:lineRule="auto"/>
        <w:ind w:left="-15" w:firstLine="161"/>
        <w:rPr>
          <w:sz w:val="21"/>
        </w:rPr>
      </w:pPr>
      <w:r>
        <w:rPr>
          <w:sz w:val="21"/>
        </w:rPr>
        <w:t xml:space="preserve">                                                                                                                       公开04表</w:t>
      </w:r>
    </w:p>
    <w:p>
      <w:pPr>
        <w:spacing w:line="267" w:lineRule="auto"/>
        <w:ind w:left="-15" w:firstLine="161"/>
        <w:rPr>
          <w:sz w:val="21"/>
        </w:rPr>
      </w:pPr>
      <w:r>
        <w:rPr>
          <w:sz w:val="21"/>
        </w:rPr>
        <w:t>部门：</w:t>
      </w:r>
      <w:r>
        <w:rPr>
          <w:rFonts w:hint="eastAsia"/>
          <w:sz w:val="21"/>
          <w:lang w:eastAsia="zh-CN"/>
        </w:rPr>
        <w:t>菏泽市第二人民医院</w:t>
      </w:r>
      <w:r>
        <w:rPr>
          <w:sz w:val="21"/>
        </w:rPr>
        <w:t xml:space="preserve">                                                                                          金额单位：万元</w:t>
      </w:r>
    </w:p>
    <w:tbl>
      <w:tblPr>
        <w:tblStyle w:val="16"/>
        <w:tblW w:w="136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567"/>
        <w:gridCol w:w="415"/>
        <w:gridCol w:w="2519"/>
        <w:gridCol w:w="2554"/>
        <w:gridCol w:w="370"/>
        <w:gridCol w:w="1416"/>
        <w:gridCol w:w="1269"/>
        <w:gridCol w:w="2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94" w:hRule="atLeast"/>
        </w:trPr>
        <w:tc>
          <w:tcPr>
            <w:tcW w:w="55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收</w:t>
            </w:r>
            <w:r>
              <w:rPr>
                <w:rStyle w:val="23"/>
                <w:rFonts w:hint="eastAsia" w:ascii="仿宋" w:hAnsi="仿宋" w:eastAsia="仿宋" w:cs="仿宋"/>
                <w:color w:val="000000"/>
                <w:sz w:val="18"/>
                <w:szCs w:val="18"/>
                <w:lang w:val="en-US" w:eastAsia="zh-CN" w:bidi="ar"/>
              </w:rPr>
              <w:t xml:space="preserve">  入</w:t>
            </w:r>
          </w:p>
        </w:tc>
        <w:tc>
          <w:tcPr>
            <w:tcW w:w="8119"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支</w:t>
            </w:r>
            <w:r>
              <w:rPr>
                <w:rStyle w:val="23"/>
                <w:rFonts w:hint="eastAsia" w:ascii="仿宋" w:hAnsi="仿宋" w:eastAsia="仿宋" w:cs="仿宋"/>
                <w:color w:val="000000"/>
                <w:sz w:val="18"/>
                <w:szCs w:val="18"/>
                <w:lang w:val="en-US" w:eastAsia="zh-CN" w:bidi="ar"/>
              </w:rPr>
              <w:t xml:space="preserve">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8" w:hRule="atLeast"/>
        </w:trPr>
        <w:tc>
          <w:tcPr>
            <w:tcW w:w="2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项    目</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行次</w:t>
            </w:r>
          </w:p>
        </w:tc>
        <w:tc>
          <w:tcPr>
            <w:tcW w:w="2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金额</w:t>
            </w:r>
          </w:p>
        </w:tc>
        <w:tc>
          <w:tcPr>
            <w:tcW w:w="25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项    目</w:t>
            </w:r>
          </w:p>
        </w:tc>
        <w:tc>
          <w:tcPr>
            <w:tcW w:w="3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行次</w:t>
            </w:r>
          </w:p>
        </w:tc>
        <w:tc>
          <w:tcPr>
            <w:tcW w:w="1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合计</w:t>
            </w: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一般公共预算财政拨款</w:t>
            </w:r>
          </w:p>
        </w:tc>
        <w:tc>
          <w:tcPr>
            <w:tcW w:w="2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2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栏    次</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p>
        </w:tc>
        <w:tc>
          <w:tcPr>
            <w:tcW w:w="2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25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栏    次</w:t>
            </w:r>
          </w:p>
        </w:tc>
        <w:tc>
          <w:tcPr>
            <w:tcW w:w="3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w:t>
            </w: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w:t>
            </w:r>
          </w:p>
        </w:tc>
        <w:tc>
          <w:tcPr>
            <w:tcW w:w="2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7" w:hRule="atLeast"/>
        </w:trPr>
        <w:tc>
          <w:tcPr>
            <w:tcW w:w="2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一、一般公共预算财政拨款</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2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149.95</w:t>
            </w:r>
          </w:p>
        </w:tc>
        <w:tc>
          <w:tcPr>
            <w:tcW w:w="25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一、一般公共服务支出</w:t>
            </w:r>
          </w:p>
        </w:tc>
        <w:tc>
          <w:tcPr>
            <w:tcW w:w="3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15</w:t>
            </w:r>
          </w:p>
        </w:tc>
        <w:tc>
          <w:tcPr>
            <w:tcW w:w="1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5" w:hRule="atLeast"/>
        </w:trPr>
        <w:tc>
          <w:tcPr>
            <w:tcW w:w="2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二、政府性基金预算财政拨款</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w:t>
            </w:r>
          </w:p>
        </w:tc>
        <w:tc>
          <w:tcPr>
            <w:tcW w:w="2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25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二、外交支出</w:t>
            </w:r>
          </w:p>
        </w:tc>
        <w:tc>
          <w:tcPr>
            <w:tcW w:w="3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16</w:t>
            </w:r>
          </w:p>
        </w:tc>
        <w:tc>
          <w:tcPr>
            <w:tcW w:w="1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2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仿宋" w:hAnsi="仿宋" w:eastAsia="仿宋" w:cs="仿宋"/>
                <w:i w:val="0"/>
                <w:color w:val="000000"/>
                <w:sz w:val="18"/>
                <w:szCs w:val="18"/>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w:t>
            </w:r>
          </w:p>
        </w:tc>
        <w:tc>
          <w:tcPr>
            <w:tcW w:w="2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25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三、国防支出</w:t>
            </w:r>
          </w:p>
        </w:tc>
        <w:tc>
          <w:tcPr>
            <w:tcW w:w="3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17</w:t>
            </w:r>
          </w:p>
        </w:tc>
        <w:tc>
          <w:tcPr>
            <w:tcW w:w="1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5" w:hRule="atLeast"/>
        </w:trPr>
        <w:tc>
          <w:tcPr>
            <w:tcW w:w="2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仿宋" w:hAnsi="仿宋" w:eastAsia="仿宋" w:cs="仿宋"/>
                <w:i w:val="0"/>
                <w:color w:val="000000"/>
                <w:sz w:val="18"/>
                <w:szCs w:val="18"/>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w:t>
            </w:r>
          </w:p>
        </w:tc>
        <w:tc>
          <w:tcPr>
            <w:tcW w:w="2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25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四、公共安全支出</w:t>
            </w:r>
          </w:p>
        </w:tc>
        <w:tc>
          <w:tcPr>
            <w:tcW w:w="3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18</w:t>
            </w:r>
          </w:p>
        </w:tc>
        <w:tc>
          <w:tcPr>
            <w:tcW w:w="1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4" w:hRule="atLeast"/>
        </w:trPr>
        <w:tc>
          <w:tcPr>
            <w:tcW w:w="2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仿宋" w:hAnsi="仿宋" w:eastAsia="仿宋" w:cs="仿宋"/>
                <w:i w:val="0"/>
                <w:color w:val="000000"/>
                <w:sz w:val="18"/>
                <w:szCs w:val="18"/>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w:t>
            </w:r>
          </w:p>
        </w:tc>
        <w:tc>
          <w:tcPr>
            <w:tcW w:w="2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25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五、教育支出</w:t>
            </w:r>
          </w:p>
        </w:tc>
        <w:tc>
          <w:tcPr>
            <w:tcW w:w="3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19</w:t>
            </w:r>
          </w:p>
        </w:tc>
        <w:tc>
          <w:tcPr>
            <w:tcW w:w="1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2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仿宋" w:hAnsi="仿宋" w:eastAsia="仿宋" w:cs="仿宋"/>
                <w:i w:val="0"/>
                <w:color w:val="000000"/>
                <w:sz w:val="18"/>
                <w:szCs w:val="18"/>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6</w:t>
            </w:r>
          </w:p>
        </w:tc>
        <w:tc>
          <w:tcPr>
            <w:tcW w:w="2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25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六、科学技术支出</w:t>
            </w:r>
          </w:p>
        </w:tc>
        <w:tc>
          <w:tcPr>
            <w:tcW w:w="3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20</w:t>
            </w:r>
          </w:p>
        </w:tc>
        <w:tc>
          <w:tcPr>
            <w:tcW w:w="1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4" w:hRule="atLeast"/>
        </w:trPr>
        <w:tc>
          <w:tcPr>
            <w:tcW w:w="2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8"/>
                <w:szCs w:val="18"/>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7</w:t>
            </w:r>
          </w:p>
        </w:tc>
        <w:tc>
          <w:tcPr>
            <w:tcW w:w="2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九、医疗卫生与计划生育支出</w:t>
            </w:r>
          </w:p>
        </w:tc>
        <w:tc>
          <w:tcPr>
            <w:tcW w:w="3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21</w:t>
            </w:r>
          </w:p>
        </w:tc>
        <w:tc>
          <w:tcPr>
            <w:tcW w:w="1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149.95</w:t>
            </w:r>
            <w:r>
              <w:rPr>
                <w:rFonts w:hint="eastAsia" w:ascii="仿宋" w:hAnsi="仿宋" w:eastAsia="仿宋" w:cs="仿宋"/>
                <w:i w:val="0"/>
                <w:color w:val="000000"/>
                <w:kern w:val="0"/>
                <w:sz w:val="18"/>
                <w:szCs w:val="18"/>
                <w:u w:val="none"/>
                <w:lang w:val="en-US" w:eastAsia="zh-CN" w:bidi="ar"/>
              </w:rPr>
              <w:t xml:space="preserve"> </w:t>
            </w: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149.95</w:t>
            </w:r>
            <w:r>
              <w:rPr>
                <w:rFonts w:hint="eastAsia" w:ascii="仿宋" w:hAnsi="仿宋" w:eastAsia="仿宋" w:cs="仿宋"/>
                <w:i w:val="0"/>
                <w:color w:val="000000"/>
                <w:kern w:val="0"/>
                <w:sz w:val="18"/>
                <w:szCs w:val="18"/>
                <w:u w:val="none"/>
                <w:lang w:val="en-US" w:eastAsia="zh-CN" w:bidi="ar"/>
              </w:rPr>
              <w:t xml:space="preserve"> </w:t>
            </w: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4" w:hRule="atLeast"/>
        </w:trPr>
        <w:tc>
          <w:tcPr>
            <w:tcW w:w="2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8"/>
                <w:szCs w:val="18"/>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8</w:t>
            </w:r>
          </w:p>
        </w:tc>
        <w:tc>
          <w:tcPr>
            <w:tcW w:w="2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8"/>
                <w:szCs w:val="18"/>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22</w:t>
            </w:r>
          </w:p>
        </w:tc>
        <w:tc>
          <w:tcPr>
            <w:tcW w:w="1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5" w:hRule="atLeast"/>
        </w:trPr>
        <w:tc>
          <w:tcPr>
            <w:tcW w:w="2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18"/>
                <w:szCs w:val="18"/>
                <w:u w:val="none"/>
              </w:rPr>
            </w:pPr>
            <w:r>
              <w:rPr>
                <w:rFonts w:hint="eastAsia" w:ascii="仿宋" w:hAnsi="仿宋" w:eastAsia="仿宋" w:cs="仿宋"/>
                <w:b/>
                <w:i w:val="0"/>
                <w:color w:val="000000"/>
                <w:kern w:val="0"/>
                <w:sz w:val="18"/>
                <w:szCs w:val="18"/>
                <w:u w:val="none"/>
                <w:lang w:val="en-US" w:eastAsia="zh-CN" w:bidi="ar"/>
              </w:rPr>
              <w:t>本年收入合计</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w:t>
            </w:r>
          </w:p>
        </w:tc>
        <w:tc>
          <w:tcPr>
            <w:tcW w:w="2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149.95</w:t>
            </w:r>
          </w:p>
        </w:tc>
        <w:tc>
          <w:tcPr>
            <w:tcW w:w="2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18"/>
                <w:szCs w:val="18"/>
                <w:u w:val="none"/>
              </w:rPr>
            </w:pPr>
            <w:r>
              <w:rPr>
                <w:rFonts w:hint="eastAsia" w:ascii="仿宋" w:hAnsi="仿宋" w:eastAsia="仿宋" w:cs="仿宋"/>
                <w:b/>
                <w:i w:val="0"/>
                <w:color w:val="000000"/>
                <w:kern w:val="0"/>
                <w:sz w:val="18"/>
                <w:szCs w:val="18"/>
                <w:u w:val="none"/>
                <w:lang w:val="en-US" w:eastAsia="zh-CN" w:bidi="ar"/>
              </w:rPr>
              <w:t>本年支出合计</w:t>
            </w:r>
          </w:p>
        </w:tc>
        <w:tc>
          <w:tcPr>
            <w:tcW w:w="3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23</w:t>
            </w:r>
          </w:p>
        </w:tc>
        <w:tc>
          <w:tcPr>
            <w:tcW w:w="1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149.95</w:t>
            </w:r>
            <w:r>
              <w:rPr>
                <w:rFonts w:hint="eastAsia" w:ascii="仿宋" w:hAnsi="仿宋" w:eastAsia="仿宋" w:cs="仿宋"/>
                <w:i w:val="0"/>
                <w:color w:val="000000"/>
                <w:kern w:val="0"/>
                <w:sz w:val="18"/>
                <w:szCs w:val="18"/>
                <w:u w:val="none"/>
                <w:lang w:val="en-US" w:eastAsia="zh-CN" w:bidi="ar"/>
              </w:rPr>
              <w:t xml:space="preserve"> </w:t>
            </w: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149.95</w:t>
            </w:r>
            <w:r>
              <w:rPr>
                <w:rFonts w:hint="eastAsia" w:ascii="仿宋" w:hAnsi="仿宋" w:eastAsia="仿宋" w:cs="仿宋"/>
                <w:i w:val="0"/>
                <w:color w:val="000000"/>
                <w:kern w:val="0"/>
                <w:sz w:val="18"/>
                <w:szCs w:val="18"/>
                <w:u w:val="none"/>
                <w:lang w:val="en-US" w:eastAsia="zh-CN" w:bidi="ar"/>
              </w:rPr>
              <w:t xml:space="preserve"> </w:t>
            </w: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2" w:hRule="atLeast"/>
        </w:trPr>
        <w:tc>
          <w:tcPr>
            <w:tcW w:w="2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年初结转和结余</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10</w:t>
            </w:r>
          </w:p>
        </w:tc>
        <w:tc>
          <w:tcPr>
            <w:tcW w:w="2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2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年末结转和结余</w:t>
            </w:r>
          </w:p>
        </w:tc>
        <w:tc>
          <w:tcPr>
            <w:tcW w:w="3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24</w:t>
            </w:r>
          </w:p>
        </w:tc>
        <w:tc>
          <w:tcPr>
            <w:tcW w:w="1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5" w:hRule="atLeast"/>
        </w:trPr>
        <w:tc>
          <w:tcPr>
            <w:tcW w:w="2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一般公共预算财政拨款</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11</w:t>
            </w:r>
          </w:p>
        </w:tc>
        <w:tc>
          <w:tcPr>
            <w:tcW w:w="2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25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8"/>
                <w:szCs w:val="18"/>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25</w:t>
            </w:r>
          </w:p>
        </w:tc>
        <w:tc>
          <w:tcPr>
            <w:tcW w:w="1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政府性基金预算财政拨款</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12</w:t>
            </w:r>
          </w:p>
        </w:tc>
        <w:tc>
          <w:tcPr>
            <w:tcW w:w="2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25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8"/>
                <w:szCs w:val="18"/>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26</w:t>
            </w:r>
          </w:p>
        </w:tc>
        <w:tc>
          <w:tcPr>
            <w:tcW w:w="1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3" w:hRule="atLeast"/>
        </w:trPr>
        <w:tc>
          <w:tcPr>
            <w:tcW w:w="2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13</w:t>
            </w:r>
          </w:p>
        </w:tc>
        <w:tc>
          <w:tcPr>
            <w:tcW w:w="2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8"/>
                <w:szCs w:val="18"/>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27</w:t>
            </w:r>
          </w:p>
        </w:tc>
        <w:tc>
          <w:tcPr>
            <w:tcW w:w="1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2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sz w:val="18"/>
                <w:szCs w:val="18"/>
                <w:u w:val="none"/>
              </w:rPr>
            </w:pPr>
            <w:r>
              <w:rPr>
                <w:rFonts w:hint="eastAsia" w:ascii="仿宋" w:hAnsi="仿宋" w:eastAsia="仿宋" w:cs="仿宋"/>
                <w:b/>
                <w:i w:val="0"/>
                <w:color w:val="000000"/>
                <w:kern w:val="0"/>
                <w:sz w:val="18"/>
                <w:szCs w:val="18"/>
                <w:u w:val="none"/>
                <w:lang w:val="en-US" w:eastAsia="zh-CN" w:bidi="ar"/>
              </w:rPr>
              <w:t>总计</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14</w:t>
            </w:r>
          </w:p>
        </w:tc>
        <w:tc>
          <w:tcPr>
            <w:tcW w:w="2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149.95</w:t>
            </w:r>
          </w:p>
        </w:tc>
        <w:tc>
          <w:tcPr>
            <w:tcW w:w="25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sz w:val="18"/>
                <w:szCs w:val="18"/>
                <w:u w:val="none"/>
              </w:rPr>
            </w:pPr>
            <w:r>
              <w:rPr>
                <w:rFonts w:hint="eastAsia" w:ascii="仿宋" w:hAnsi="仿宋" w:eastAsia="仿宋" w:cs="仿宋"/>
                <w:b/>
                <w:i w:val="0"/>
                <w:color w:val="000000"/>
                <w:kern w:val="0"/>
                <w:sz w:val="18"/>
                <w:szCs w:val="18"/>
                <w:u w:val="none"/>
                <w:lang w:val="en-US" w:eastAsia="zh-CN" w:bidi="ar"/>
              </w:rPr>
              <w:t>总计</w:t>
            </w:r>
          </w:p>
        </w:tc>
        <w:tc>
          <w:tcPr>
            <w:tcW w:w="3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28</w:t>
            </w:r>
          </w:p>
        </w:tc>
        <w:tc>
          <w:tcPr>
            <w:tcW w:w="1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149.95</w:t>
            </w: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149.95</w:t>
            </w:r>
            <w:r>
              <w:rPr>
                <w:rFonts w:hint="eastAsia" w:ascii="仿宋" w:hAnsi="仿宋" w:eastAsia="仿宋" w:cs="仿宋"/>
                <w:i w:val="0"/>
                <w:color w:val="000000"/>
                <w:kern w:val="0"/>
                <w:sz w:val="18"/>
                <w:szCs w:val="18"/>
                <w:u w:val="none"/>
                <w:lang w:val="en-US" w:eastAsia="zh-CN" w:bidi="ar"/>
              </w:rPr>
              <w:t xml:space="preserve"> </w:t>
            </w: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3620" w:type="dxa"/>
            <w:gridSpan w:val="8"/>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仿宋" w:hAnsi="仿宋" w:eastAsia="仿宋" w:cs="仿宋"/>
                <w:i w:val="0"/>
                <w:color w:val="000000"/>
                <w:sz w:val="18"/>
                <w:szCs w:val="18"/>
                <w:u w:val="none"/>
              </w:rPr>
            </w:pPr>
            <w:r>
              <w:rPr>
                <w:rFonts w:hint="default" w:ascii="仿宋_GB2312" w:hAnsi="宋体" w:eastAsia="仿宋_GB2312" w:cs="仿宋_GB2312"/>
                <w:color w:val="000000"/>
                <w:kern w:val="0"/>
                <w:sz w:val="21"/>
                <w:szCs w:val="21"/>
                <w:lang w:val="en-US" w:eastAsia="zh-CN" w:bidi="ar"/>
              </w:rPr>
              <w:t>注：本表反映部门本年度一般公共预算财政拨款和政府性基金预算财政拨款的总收支和年末结转结余情况。</w:t>
            </w:r>
          </w:p>
        </w:tc>
      </w:tr>
    </w:tbl>
    <w:p>
      <w:pPr>
        <w:spacing w:after="0" w:line="259" w:lineRule="auto"/>
        <w:ind w:left="0" w:leftChars="0" w:right="106" w:firstLine="0" w:firstLineChars="0"/>
        <w:jc w:val="center"/>
        <w:rPr>
          <w:rFonts w:ascii="黑体" w:hAnsi="黑体" w:eastAsia="黑体" w:cs="黑体"/>
        </w:rPr>
      </w:pPr>
    </w:p>
    <w:p>
      <w:pPr>
        <w:spacing w:after="0" w:line="259" w:lineRule="auto"/>
        <w:ind w:left="0" w:leftChars="0" w:right="106" w:firstLine="0" w:firstLineChars="0"/>
        <w:jc w:val="center"/>
      </w:pPr>
      <w:r>
        <w:rPr>
          <w:rFonts w:ascii="黑体" w:hAnsi="黑体" w:eastAsia="黑体" w:cs="黑体"/>
        </w:rPr>
        <w:t>一般公共预算财政拨款</w:t>
      </w:r>
      <w:r>
        <w:rPr>
          <w:rFonts w:hint="eastAsia" w:ascii="黑体" w:hAnsi="黑体" w:eastAsia="黑体" w:cs="黑体"/>
          <w:lang w:val="en-US" w:eastAsia="zh-CN"/>
        </w:rPr>
        <w:t>收入</w:t>
      </w:r>
      <w:r>
        <w:rPr>
          <w:rFonts w:ascii="黑体" w:hAnsi="黑体" w:eastAsia="黑体" w:cs="黑体"/>
        </w:rPr>
        <w:t>决算表</w:t>
      </w:r>
    </w:p>
    <w:p>
      <w:pPr>
        <w:spacing w:line="267" w:lineRule="auto"/>
        <w:ind w:left="-5"/>
        <w:rPr>
          <w:sz w:val="30"/>
          <w:vertAlign w:val="subscript"/>
        </w:rPr>
      </w:pPr>
      <w:r>
        <w:rPr>
          <w:rFonts w:ascii="黑体" w:hAnsi="黑体" w:eastAsia="黑体" w:cs="黑体"/>
          <w:sz w:val="30"/>
        </w:rPr>
        <w:t xml:space="preserve">                                                                                  </w:t>
      </w:r>
      <w:r>
        <w:rPr>
          <w:rFonts w:hint="eastAsia" w:ascii="黑体" w:hAnsi="黑体" w:eastAsia="黑体" w:cs="黑体"/>
          <w:sz w:val="30"/>
          <w:lang w:val="en-US" w:eastAsia="zh-CN"/>
        </w:rPr>
        <w:t xml:space="preserve"> </w:t>
      </w:r>
      <w:r>
        <w:rPr>
          <w:sz w:val="21"/>
        </w:rPr>
        <w:t>公开05表</w:t>
      </w:r>
    </w:p>
    <w:p>
      <w:pPr>
        <w:spacing w:line="267" w:lineRule="auto"/>
        <w:ind w:left="-5"/>
        <w:rPr>
          <w:sz w:val="21"/>
        </w:rPr>
      </w:pPr>
      <w:r>
        <w:rPr>
          <w:sz w:val="21"/>
        </w:rPr>
        <w:t>部门：</w:t>
      </w:r>
      <w:r>
        <w:rPr>
          <w:rFonts w:hint="eastAsia"/>
          <w:sz w:val="21"/>
          <w:lang w:val="en-US" w:eastAsia="zh-CN"/>
        </w:rPr>
        <w:t>菏泽市第二人民医院</w:t>
      </w:r>
      <w:r>
        <w:rPr>
          <w:sz w:val="21"/>
        </w:rPr>
        <w:t xml:space="preserve"> </w:t>
      </w:r>
      <w:r>
        <w:rPr>
          <w:rFonts w:ascii="黑体" w:hAnsi="黑体" w:eastAsia="黑体" w:cs="黑体"/>
          <w:sz w:val="30"/>
        </w:rPr>
        <w:t xml:space="preserve">                                                              </w:t>
      </w:r>
      <w:r>
        <w:rPr>
          <w:sz w:val="21"/>
        </w:rPr>
        <w:t>金额单位：万元</w:t>
      </w:r>
    </w:p>
    <w:tbl>
      <w:tblPr>
        <w:tblStyle w:val="16"/>
        <w:tblW w:w="134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62"/>
        <w:gridCol w:w="482"/>
        <w:gridCol w:w="472"/>
        <w:gridCol w:w="2646"/>
        <w:gridCol w:w="772"/>
        <w:gridCol w:w="636"/>
        <w:gridCol w:w="788"/>
        <w:gridCol w:w="1"/>
        <w:gridCol w:w="900"/>
        <w:gridCol w:w="794"/>
        <w:gridCol w:w="736"/>
        <w:gridCol w:w="1"/>
        <w:gridCol w:w="802"/>
        <w:gridCol w:w="629"/>
        <w:gridCol w:w="670"/>
        <w:gridCol w:w="1"/>
        <w:gridCol w:w="753"/>
        <w:gridCol w:w="656"/>
        <w:gridCol w:w="653"/>
        <w:gridCol w:w="612"/>
        <w:gridCol w:w="1"/>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9" w:hRule="atLeast"/>
        </w:trPr>
        <w:tc>
          <w:tcPr>
            <w:tcW w:w="141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科目编码</w:t>
            </w:r>
          </w:p>
        </w:tc>
        <w:tc>
          <w:tcPr>
            <w:tcW w:w="2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科目名称</w:t>
            </w:r>
          </w:p>
        </w:tc>
        <w:tc>
          <w:tcPr>
            <w:tcW w:w="21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年初结转和结余</w:t>
            </w:r>
          </w:p>
        </w:tc>
        <w:tc>
          <w:tcPr>
            <w:tcW w:w="24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本年收入</w:t>
            </w:r>
          </w:p>
        </w:tc>
        <w:tc>
          <w:tcPr>
            <w:tcW w:w="21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本年支出</w:t>
            </w:r>
          </w:p>
        </w:tc>
        <w:tc>
          <w:tcPr>
            <w:tcW w:w="267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587" w:hRule="atLeast"/>
        </w:trPr>
        <w:tc>
          <w:tcPr>
            <w:tcW w:w="141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2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合计</w:t>
            </w:r>
          </w:p>
        </w:tc>
        <w:tc>
          <w:tcPr>
            <w:tcW w:w="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基本支出结转</w:t>
            </w:r>
          </w:p>
        </w:tc>
        <w:tc>
          <w:tcPr>
            <w:tcW w:w="7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项目支出结转和结余</w:t>
            </w:r>
          </w:p>
        </w:tc>
        <w:tc>
          <w:tcPr>
            <w:tcW w:w="90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合计</w:t>
            </w:r>
          </w:p>
        </w:tc>
        <w:tc>
          <w:tcPr>
            <w:tcW w:w="7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基本</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支出</w:t>
            </w:r>
          </w:p>
        </w:tc>
        <w:tc>
          <w:tcPr>
            <w:tcW w:w="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项目</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支出</w:t>
            </w:r>
          </w:p>
        </w:tc>
        <w:tc>
          <w:tcPr>
            <w:tcW w:w="80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合计</w:t>
            </w:r>
          </w:p>
        </w:tc>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基本</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支出</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项目</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支出</w:t>
            </w:r>
          </w:p>
        </w:tc>
        <w:tc>
          <w:tcPr>
            <w:tcW w:w="75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合计</w:t>
            </w:r>
          </w:p>
        </w:tc>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基本支出结转</w:t>
            </w:r>
          </w:p>
        </w:tc>
        <w:tc>
          <w:tcPr>
            <w:tcW w:w="12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项目支出结转和结余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2" w:type="dxa"/>
          <w:trHeight w:val="644" w:hRule="atLeast"/>
        </w:trPr>
        <w:tc>
          <w:tcPr>
            <w:tcW w:w="141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2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90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80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项目支出结转</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项目支出结余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2" w:type="dxa"/>
          <w:trHeight w:val="335" w:hRule="atLeast"/>
        </w:trPr>
        <w:tc>
          <w:tcPr>
            <w:tcW w:w="4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类</w:t>
            </w:r>
          </w:p>
        </w:tc>
        <w:tc>
          <w:tcPr>
            <w:tcW w:w="4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款</w:t>
            </w:r>
          </w:p>
        </w:tc>
        <w:tc>
          <w:tcPr>
            <w:tcW w:w="4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项</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栏次</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6</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7</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8</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w:t>
            </w: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10</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11</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12</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2" w:type="dxa"/>
          <w:trHeight w:val="200"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4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合计</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0.00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0.00 </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0.00 </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149.95</w:t>
            </w:r>
            <w:r>
              <w:rPr>
                <w:rFonts w:hint="eastAsia" w:ascii="仿宋" w:hAnsi="仿宋" w:eastAsia="仿宋" w:cs="仿宋"/>
                <w:i w:val="0"/>
                <w:color w:val="000000"/>
                <w:kern w:val="0"/>
                <w:sz w:val="18"/>
                <w:szCs w:val="18"/>
                <w:u w:val="none"/>
                <w:lang w:val="en-US" w:eastAsia="zh-CN" w:bidi="ar"/>
              </w:rPr>
              <w:t xml:space="preserve"> </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149.95</w:t>
            </w:r>
            <w:r>
              <w:rPr>
                <w:rFonts w:hint="eastAsia" w:ascii="仿宋" w:hAnsi="仿宋" w:eastAsia="仿宋" w:cs="仿宋"/>
                <w:i w:val="0"/>
                <w:color w:val="000000"/>
                <w:kern w:val="0"/>
                <w:sz w:val="18"/>
                <w:szCs w:val="18"/>
                <w:u w:val="none"/>
                <w:lang w:val="en-US" w:eastAsia="zh-CN" w:bidi="ar"/>
              </w:rPr>
              <w:t xml:space="preserve"> </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149.95</w:t>
            </w:r>
            <w:r>
              <w:rPr>
                <w:rFonts w:hint="eastAsia" w:ascii="仿宋" w:hAnsi="仿宋" w:eastAsia="仿宋" w:cs="仿宋"/>
                <w:i w:val="0"/>
                <w:color w:val="000000"/>
                <w:kern w:val="0"/>
                <w:sz w:val="18"/>
                <w:szCs w:val="18"/>
                <w:u w:val="none"/>
                <w:lang w:val="en-US" w:eastAsia="zh-CN" w:bidi="ar"/>
              </w:rPr>
              <w:t xml:space="preserve"> </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149.95</w:t>
            </w:r>
            <w:r>
              <w:rPr>
                <w:rFonts w:hint="eastAsia" w:ascii="仿宋" w:hAnsi="仿宋" w:eastAsia="仿宋" w:cs="仿宋"/>
                <w:i w:val="0"/>
                <w:color w:val="000000"/>
                <w:kern w:val="0"/>
                <w:sz w:val="18"/>
                <w:szCs w:val="18"/>
                <w:u w:val="none"/>
                <w:lang w:val="en-US" w:eastAsia="zh-CN" w:bidi="ar"/>
              </w:rPr>
              <w:t xml:space="preserve"> </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0.00 </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0.00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0.00</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2" w:type="dxa"/>
          <w:trHeight w:val="425" w:hRule="atLeast"/>
        </w:trPr>
        <w:tc>
          <w:tcPr>
            <w:tcW w:w="14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210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医疗卫生与计划生育支出</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0.00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0.00 </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0.00 </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149.95</w:t>
            </w:r>
            <w:r>
              <w:rPr>
                <w:rFonts w:hint="eastAsia" w:ascii="仿宋" w:hAnsi="仿宋" w:eastAsia="仿宋" w:cs="仿宋"/>
                <w:i w:val="0"/>
                <w:color w:val="000000"/>
                <w:kern w:val="0"/>
                <w:sz w:val="18"/>
                <w:szCs w:val="18"/>
                <w:u w:val="none"/>
                <w:lang w:val="en-US" w:eastAsia="zh-CN" w:bidi="ar"/>
              </w:rPr>
              <w:t xml:space="preserve"> </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149.95</w:t>
            </w:r>
            <w:r>
              <w:rPr>
                <w:rFonts w:hint="eastAsia" w:ascii="仿宋" w:hAnsi="仿宋" w:eastAsia="仿宋" w:cs="仿宋"/>
                <w:i w:val="0"/>
                <w:color w:val="000000"/>
                <w:kern w:val="0"/>
                <w:sz w:val="18"/>
                <w:szCs w:val="18"/>
                <w:u w:val="none"/>
                <w:lang w:val="en-US" w:eastAsia="zh-CN" w:bidi="ar"/>
              </w:rPr>
              <w:t xml:space="preserve"> </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149.95</w:t>
            </w:r>
            <w:r>
              <w:rPr>
                <w:rFonts w:hint="eastAsia" w:ascii="仿宋" w:hAnsi="仿宋" w:eastAsia="仿宋" w:cs="仿宋"/>
                <w:i w:val="0"/>
                <w:color w:val="000000"/>
                <w:kern w:val="0"/>
                <w:sz w:val="18"/>
                <w:szCs w:val="18"/>
                <w:u w:val="none"/>
                <w:lang w:val="en-US" w:eastAsia="zh-CN" w:bidi="ar"/>
              </w:rPr>
              <w:t xml:space="preserve"> </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149.95</w:t>
            </w:r>
            <w:r>
              <w:rPr>
                <w:rFonts w:hint="eastAsia" w:ascii="仿宋" w:hAnsi="仿宋" w:eastAsia="仿宋" w:cs="仿宋"/>
                <w:i w:val="0"/>
                <w:color w:val="000000"/>
                <w:kern w:val="0"/>
                <w:sz w:val="18"/>
                <w:szCs w:val="18"/>
                <w:u w:val="none"/>
                <w:lang w:val="en-US" w:eastAsia="zh-CN" w:bidi="ar"/>
              </w:rPr>
              <w:t xml:space="preserve"> </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0.00 </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0.00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0.00</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2" w:type="dxa"/>
          <w:trHeight w:val="414" w:hRule="atLeast"/>
        </w:trPr>
        <w:tc>
          <w:tcPr>
            <w:tcW w:w="14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21002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公立医院</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0.00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0.00 </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0.00 </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129.00</w:t>
            </w:r>
            <w:r>
              <w:rPr>
                <w:rFonts w:hint="eastAsia" w:ascii="仿宋" w:hAnsi="仿宋" w:eastAsia="仿宋" w:cs="仿宋"/>
                <w:i w:val="0"/>
                <w:color w:val="000000"/>
                <w:kern w:val="0"/>
                <w:sz w:val="18"/>
                <w:szCs w:val="18"/>
                <w:u w:val="none"/>
                <w:lang w:val="en-US" w:eastAsia="zh-CN" w:bidi="ar"/>
              </w:rPr>
              <w:t xml:space="preserve"> </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129.00</w:t>
            </w:r>
            <w:r>
              <w:rPr>
                <w:rFonts w:hint="eastAsia" w:ascii="仿宋" w:hAnsi="仿宋" w:eastAsia="仿宋" w:cs="仿宋"/>
                <w:i w:val="0"/>
                <w:color w:val="000000"/>
                <w:kern w:val="0"/>
                <w:sz w:val="18"/>
                <w:szCs w:val="18"/>
                <w:u w:val="none"/>
                <w:lang w:val="en-US" w:eastAsia="zh-CN" w:bidi="ar"/>
              </w:rPr>
              <w:t xml:space="preserve"> </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129.00</w:t>
            </w:r>
            <w:r>
              <w:rPr>
                <w:rFonts w:hint="eastAsia" w:ascii="仿宋" w:hAnsi="仿宋" w:eastAsia="仿宋" w:cs="仿宋"/>
                <w:i w:val="0"/>
                <w:color w:val="000000"/>
                <w:kern w:val="0"/>
                <w:sz w:val="18"/>
                <w:szCs w:val="18"/>
                <w:u w:val="none"/>
                <w:lang w:val="en-US" w:eastAsia="zh-CN" w:bidi="ar"/>
              </w:rPr>
              <w:t xml:space="preserve"> </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129.00</w:t>
            </w:r>
            <w:r>
              <w:rPr>
                <w:rFonts w:hint="eastAsia" w:ascii="仿宋" w:hAnsi="仿宋" w:eastAsia="仿宋" w:cs="仿宋"/>
                <w:i w:val="0"/>
                <w:color w:val="000000"/>
                <w:kern w:val="0"/>
                <w:sz w:val="18"/>
                <w:szCs w:val="18"/>
                <w:u w:val="none"/>
                <w:lang w:val="en-US" w:eastAsia="zh-CN" w:bidi="ar"/>
              </w:rPr>
              <w:t xml:space="preserve"> </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0.00 </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0.00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0.00</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2" w:type="dxa"/>
          <w:trHeight w:val="361" w:hRule="atLeast"/>
        </w:trPr>
        <w:tc>
          <w:tcPr>
            <w:tcW w:w="14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2100201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综合医院</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0.00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0.00 </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0.00 </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4</w:t>
            </w:r>
            <w:r>
              <w:rPr>
                <w:rFonts w:hint="eastAsia" w:ascii="仿宋" w:hAnsi="仿宋" w:eastAsia="仿宋" w:cs="仿宋"/>
                <w:i w:val="0"/>
                <w:color w:val="000000"/>
                <w:kern w:val="0"/>
                <w:sz w:val="18"/>
                <w:szCs w:val="18"/>
                <w:u w:val="none"/>
                <w:lang w:val="en-US" w:eastAsia="zh-CN" w:bidi="ar"/>
              </w:rPr>
              <w:t xml:space="preserve">0.00 </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4</w:t>
            </w:r>
            <w:r>
              <w:rPr>
                <w:rFonts w:hint="eastAsia" w:ascii="仿宋" w:hAnsi="仿宋" w:eastAsia="仿宋" w:cs="仿宋"/>
                <w:i w:val="0"/>
                <w:color w:val="000000"/>
                <w:kern w:val="0"/>
                <w:sz w:val="18"/>
                <w:szCs w:val="18"/>
                <w:u w:val="none"/>
                <w:lang w:val="en-US" w:eastAsia="zh-CN" w:bidi="ar"/>
              </w:rPr>
              <w:t xml:space="preserve">0.00 </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4</w:t>
            </w:r>
            <w:r>
              <w:rPr>
                <w:rFonts w:hint="eastAsia" w:ascii="仿宋" w:hAnsi="仿宋" w:eastAsia="仿宋" w:cs="仿宋"/>
                <w:i w:val="0"/>
                <w:color w:val="000000"/>
                <w:kern w:val="0"/>
                <w:sz w:val="18"/>
                <w:szCs w:val="18"/>
                <w:u w:val="none"/>
                <w:lang w:val="en-US" w:eastAsia="zh-CN" w:bidi="ar"/>
              </w:rPr>
              <w:t xml:space="preserve">0.00 </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4</w:t>
            </w:r>
            <w:r>
              <w:rPr>
                <w:rFonts w:hint="eastAsia" w:ascii="仿宋" w:hAnsi="仿宋" w:eastAsia="仿宋" w:cs="仿宋"/>
                <w:i w:val="0"/>
                <w:color w:val="000000"/>
                <w:kern w:val="0"/>
                <w:sz w:val="18"/>
                <w:szCs w:val="18"/>
                <w:u w:val="none"/>
                <w:lang w:val="en-US" w:eastAsia="zh-CN" w:bidi="ar"/>
              </w:rPr>
              <w:t xml:space="preserve">0.00 </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0.00 </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0.00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0.00</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2" w:type="dxa"/>
          <w:trHeight w:val="350" w:hRule="atLeast"/>
        </w:trPr>
        <w:tc>
          <w:tcPr>
            <w:tcW w:w="14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cs="仿宋"/>
                <w:i w:val="0"/>
                <w:color w:val="000000"/>
                <w:kern w:val="0"/>
                <w:sz w:val="18"/>
                <w:szCs w:val="18"/>
                <w:u w:val="none"/>
                <w:lang w:val="en-US" w:eastAsia="zh-CN" w:bidi="ar"/>
              </w:rPr>
              <w:t>2100299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cs="仿宋"/>
                <w:i w:val="0"/>
                <w:color w:val="000000"/>
                <w:kern w:val="0"/>
                <w:sz w:val="18"/>
                <w:szCs w:val="18"/>
                <w:u w:val="none"/>
                <w:lang w:val="en-US" w:eastAsia="zh-CN" w:bidi="ar"/>
              </w:rPr>
              <w:t xml:space="preserve">  其他公立医院支出</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cs="仿宋"/>
                <w:i w:val="0"/>
                <w:color w:val="000000"/>
                <w:sz w:val="18"/>
                <w:szCs w:val="18"/>
                <w:u w:val="none"/>
                <w:lang w:val="en-US" w:eastAsia="zh-CN"/>
              </w:rPr>
              <w:t>0.00</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cs="仿宋"/>
                <w:i w:val="0"/>
                <w:color w:val="000000"/>
                <w:sz w:val="18"/>
                <w:szCs w:val="18"/>
                <w:u w:val="none"/>
                <w:lang w:val="en-US" w:eastAsia="zh-CN"/>
              </w:rPr>
              <w:t>0.00</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cs="仿宋"/>
                <w:i w:val="0"/>
                <w:color w:val="000000"/>
                <w:sz w:val="18"/>
                <w:szCs w:val="18"/>
                <w:u w:val="none"/>
                <w:lang w:val="en-US" w:eastAsia="zh-CN"/>
              </w:rPr>
              <w:t>0.00</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s="仿宋"/>
                <w:i w:val="0"/>
                <w:color w:val="000000"/>
                <w:kern w:val="0"/>
                <w:sz w:val="18"/>
                <w:szCs w:val="18"/>
                <w:u w:val="none"/>
                <w:lang w:val="en-US" w:eastAsia="zh-CN" w:bidi="ar"/>
              </w:rPr>
            </w:pPr>
            <w:r>
              <w:rPr>
                <w:rFonts w:hint="eastAsia" w:cs="仿宋"/>
                <w:i w:val="0"/>
                <w:color w:val="000000"/>
                <w:kern w:val="0"/>
                <w:sz w:val="18"/>
                <w:szCs w:val="18"/>
                <w:u w:val="none"/>
                <w:lang w:val="en-US" w:eastAsia="zh-CN" w:bidi="ar"/>
              </w:rPr>
              <w:t>89.00</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s="仿宋"/>
                <w:i w:val="0"/>
                <w:color w:val="000000"/>
                <w:kern w:val="0"/>
                <w:sz w:val="18"/>
                <w:szCs w:val="18"/>
                <w:u w:val="none"/>
                <w:lang w:val="en-US" w:eastAsia="zh-CN" w:bidi="ar"/>
              </w:rPr>
            </w:pPr>
            <w:r>
              <w:rPr>
                <w:rFonts w:hint="eastAsia" w:cs="仿宋"/>
                <w:i w:val="0"/>
                <w:color w:val="000000"/>
                <w:kern w:val="0"/>
                <w:sz w:val="18"/>
                <w:szCs w:val="18"/>
                <w:u w:val="none"/>
                <w:lang w:val="en-US" w:eastAsia="zh-CN" w:bidi="ar"/>
              </w:rPr>
              <w:t>89.00</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s="仿宋"/>
                <w:i w:val="0"/>
                <w:color w:val="000000"/>
                <w:kern w:val="0"/>
                <w:sz w:val="18"/>
                <w:szCs w:val="18"/>
                <w:u w:val="none"/>
                <w:lang w:val="en-US" w:eastAsia="zh-CN" w:bidi="ar"/>
              </w:rPr>
            </w:pPr>
            <w:r>
              <w:rPr>
                <w:rFonts w:hint="eastAsia" w:cs="仿宋"/>
                <w:i w:val="0"/>
                <w:color w:val="000000"/>
                <w:kern w:val="0"/>
                <w:sz w:val="18"/>
                <w:szCs w:val="18"/>
                <w:u w:val="none"/>
                <w:lang w:val="en-US" w:eastAsia="zh-CN" w:bidi="ar"/>
              </w:rPr>
              <w:t>89.00</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s="仿宋"/>
                <w:i w:val="0"/>
                <w:color w:val="000000"/>
                <w:kern w:val="0"/>
                <w:sz w:val="18"/>
                <w:szCs w:val="18"/>
                <w:u w:val="none"/>
                <w:lang w:val="en-US" w:eastAsia="zh-CN" w:bidi="ar"/>
              </w:rPr>
            </w:pPr>
            <w:r>
              <w:rPr>
                <w:rFonts w:hint="eastAsia" w:cs="仿宋"/>
                <w:i w:val="0"/>
                <w:color w:val="000000"/>
                <w:kern w:val="0"/>
                <w:sz w:val="18"/>
                <w:szCs w:val="18"/>
                <w:u w:val="none"/>
                <w:lang w:val="en-US" w:eastAsia="zh-CN" w:bidi="ar"/>
              </w:rPr>
              <w:t>89.00</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cs="仿宋"/>
                <w:i w:val="0"/>
                <w:color w:val="000000"/>
                <w:kern w:val="0"/>
                <w:sz w:val="18"/>
                <w:szCs w:val="18"/>
                <w:u w:val="none"/>
                <w:lang w:val="en-US" w:eastAsia="zh-CN" w:bidi="ar"/>
              </w:rPr>
              <w:t>0.00</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cs="仿宋"/>
                <w:i w:val="0"/>
                <w:color w:val="000000"/>
                <w:kern w:val="0"/>
                <w:sz w:val="18"/>
                <w:szCs w:val="18"/>
                <w:u w:val="none"/>
                <w:lang w:val="en-US" w:eastAsia="zh-CN" w:bidi="ar"/>
              </w:rPr>
              <w:t>0.00</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0.00</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2" w:type="dxa"/>
          <w:trHeight w:val="357" w:hRule="atLeast"/>
        </w:trPr>
        <w:tc>
          <w:tcPr>
            <w:tcW w:w="14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210</w:t>
            </w:r>
            <w:r>
              <w:rPr>
                <w:rFonts w:hint="eastAsia" w:cs="仿宋"/>
                <w:i w:val="0"/>
                <w:color w:val="000000"/>
                <w:kern w:val="0"/>
                <w:sz w:val="18"/>
                <w:szCs w:val="18"/>
                <w:u w:val="none"/>
                <w:lang w:val="en-US" w:eastAsia="zh-CN" w:bidi="ar"/>
              </w:rPr>
              <w:t>04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公共卫生</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lang w:val="en-US"/>
              </w:rPr>
            </w:pPr>
            <w:r>
              <w:rPr>
                <w:rFonts w:hint="eastAsia" w:cs="仿宋"/>
                <w:i w:val="0"/>
                <w:color w:val="000000"/>
                <w:kern w:val="0"/>
                <w:sz w:val="18"/>
                <w:szCs w:val="18"/>
                <w:u w:val="none"/>
                <w:lang w:val="en-US" w:eastAsia="zh-CN" w:bidi="ar"/>
              </w:rPr>
              <w:t>0.95</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0.95</w:t>
            </w:r>
            <w:r>
              <w:rPr>
                <w:rFonts w:hint="eastAsia" w:ascii="仿宋" w:hAnsi="仿宋" w:eastAsia="仿宋" w:cs="仿宋"/>
                <w:i w:val="0"/>
                <w:color w:val="000000"/>
                <w:kern w:val="0"/>
                <w:sz w:val="18"/>
                <w:szCs w:val="18"/>
                <w:u w:val="none"/>
                <w:lang w:val="en-US" w:eastAsia="zh-CN" w:bidi="ar"/>
              </w:rPr>
              <w:t xml:space="preserve"> </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lang w:val="en-US"/>
              </w:rPr>
            </w:pPr>
            <w:r>
              <w:rPr>
                <w:rFonts w:hint="eastAsia" w:cs="仿宋"/>
                <w:i w:val="0"/>
                <w:color w:val="000000"/>
                <w:kern w:val="0"/>
                <w:sz w:val="18"/>
                <w:szCs w:val="18"/>
                <w:u w:val="none"/>
                <w:lang w:val="en-US" w:eastAsia="zh-CN" w:bidi="ar"/>
              </w:rPr>
              <w:t>0.95</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0.95</w:t>
            </w:r>
            <w:r>
              <w:rPr>
                <w:rFonts w:hint="eastAsia" w:ascii="仿宋" w:hAnsi="仿宋" w:eastAsia="仿宋" w:cs="仿宋"/>
                <w:i w:val="0"/>
                <w:color w:val="000000"/>
                <w:kern w:val="0"/>
                <w:sz w:val="18"/>
                <w:szCs w:val="18"/>
                <w:u w:val="none"/>
                <w:lang w:val="en-US" w:eastAsia="zh-CN" w:bidi="ar"/>
              </w:rPr>
              <w:t xml:space="preserve"> </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0.00 </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0.00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0.00</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2" w:type="dxa"/>
          <w:trHeight w:val="316" w:hRule="atLeast"/>
        </w:trPr>
        <w:tc>
          <w:tcPr>
            <w:tcW w:w="14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rPr>
            </w:pPr>
            <w:r>
              <w:rPr>
                <w:rFonts w:hint="eastAsia" w:cs="仿宋"/>
                <w:i w:val="0"/>
                <w:color w:val="000000"/>
                <w:kern w:val="0"/>
                <w:sz w:val="18"/>
                <w:szCs w:val="18"/>
                <w:u w:val="none"/>
                <w:lang w:val="en-US" w:eastAsia="zh-CN" w:bidi="ar"/>
              </w:rPr>
              <w:t>2100409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 xml:space="preserve">  </w:t>
            </w:r>
            <w:r>
              <w:rPr>
                <w:rFonts w:hint="eastAsia" w:cs="仿宋"/>
                <w:i w:val="0"/>
                <w:color w:val="000000"/>
                <w:kern w:val="0"/>
                <w:sz w:val="18"/>
                <w:szCs w:val="18"/>
                <w:u w:val="none"/>
                <w:lang w:val="en-US" w:eastAsia="zh-CN" w:bidi="ar"/>
              </w:rPr>
              <w:t>重大公共卫生专项</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0.95</w:t>
            </w:r>
            <w:r>
              <w:rPr>
                <w:rFonts w:hint="eastAsia" w:ascii="仿宋" w:hAnsi="仿宋" w:eastAsia="仿宋" w:cs="仿宋"/>
                <w:i w:val="0"/>
                <w:color w:val="000000"/>
                <w:kern w:val="0"/>
                <w:sz w:val="18"/>
                <w:szCs w:val="18"/>
                <w:u w:val="none"/>
                <w:lang w:val="en-US" w:eastAsia="zh-CN" w:bidi="ar"/>
              </w:rPr>
              <w:t xml:space="preserve"> </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0.95</w:t>
            </w:r>
            <w:r>
              <w:rPr>
                <w:rFonts w:hint="eastAsia" w:ascii="仿宋" w:hAnsi="仿宋" w:eastAsia="仿宋" w:cs="仿宋"/>
                <w:i w:val="0"/>
                <w:color w:val="000000"/>
                <w:kern w:val="0"/>
                <w:sz w:val="18"/>
                <w:szCs w:val="18"/>
                <w:u w:val="none"/>
                <w:lang w:val="en-US" w:eastAsia="zh-CN" w:bidi="ar"/>
              </w:rPr>
              <w:t xml:space="preserve"> </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lang w:val="en-US" w:eastAsia="zh-CN"/>
              </w:rPr>
            </w:pPr>
            <w:r>
              <w:rPr>
                <w:rFonts w:hint="eastAsia" w:cs="仿宋"/>
                <w:i w:val="0"/>
                <w:color w:val="000000"/>
                <w:sz w:val="18"/>
                <w:szCs w:val="18"/>
                <w:u w:val="none"/>
                <w:lang w:val="en-US" w:eastAsia="zh-CN"/>
              </w:rPr>
              <w:t>0.00</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0.95</w:t>
            </w:r>
            <w:r>
              <w:rPr>
                <w:rFonts w:hint="eastAsia" w:ascii="仿宋" w:hAnsi="仿宋" w:eastAsia="仿宋" w:cs="仿宋"/>
                <w:i w:val="0"/>
                <w:color w:val="000000"/>
                <w:kern w:val="0"/>
                <w:sz w:val="18"/>
                <w:szCs w:val="18"/>
                <w:u w:val="none"/>
                <w:lang w:val="en-US" w:eastAsia="zh-CN" w:bidi="ar"/>
              </w:rPr>
              <w:t xml:space="preserve"> </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0.95</w:t>
            </w:r>
            <w:r>
              <w:rPr>
                <w:rFonts w:hint="eastAsia" w:ascii="仿宋" w:hAnsi="仿宋" w:eastAsia="仿宋" w:cs="仿宋"/>
                <w:i w:val="0"/>
                <w:color w:val="000000"/>
                <w:kern w:val="0"/>
                <w:sz w:val="18"/>
                <w:szCs w:val="18"/>
                <w:u w:val="none"/>
                <w:lang w:val="en-US" w:eastAsia="zh-CN" w:bidi="ar"/>
              </w:rPr>
              <w:t xml:space="preserve"> </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lang w:val="en-US" w:eastAsia="zh-CN"/>
              </w:rPr>
            </w:pPr>
            <w:r>
              <w:rPr>
                <w:rFonts w:hint="eastAsia" w:cs="仿宋"/>
                <w:i w:val="0"/>
                <w:color w:val="000000"/>
                <w:sz w:val="18"/>
                <w:szCs w:val="18"/>
                <w:u w:val="none"/>
                <w:lang w:val="en-US" w:eastAsia="zh-CN"/>
              </w:rPr>
              <w:t>0.00</w:t>
            </w: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0.00 </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0.00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lang w:val="en-US" w:eastAsia="zh-CN"/>
              </w:rPr>
            </w:pPr>
            <w:r>
              <w:rPr>
                <w:rFonts w:hint="eastAsia" w:cs="仿宋"/>
                <w:i w:val="0"/>
                <w:color w:val="000000"/>
                <w:sz w:val="18"/>
                <w:szCs w:val="18"/>
                <w:u w:val="none"/>
                <w:lang w:val="en-US" w:eastAsia="zh-CN"/>
              </w:rPr>
              <w:t>0.00</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lang w:val="en-US" w:eastAsia="zh-CN"/>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2" w:type="dxa"/>
          <w:trHeight w:val="339" w:hRule="atLeast"/>
        </w:trPr>
        <w:tc>
          <w:tcPr>
            <w:tcW w:w="14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8"/>
                <w:szCs w:val="18"/>
                <w:u w:val="none"/>
                <w:lang w:val="en-US" w:eastAsia="zh-CN"/>
              </w:rPr>
            </w:pPr>
            <w:r>
              <w:rPr>
                <w:rFonts w:hint="eastAsia" w:cs="仿宋"/>
                <w:i w:val="0"/>
                <w:color w:val="000000"/>
                <w:sz w:val="18"/>
                <w:szCs w:val="18"/>
                <w:u w:val="none"/>
                <w:lang w:val="en-US" w:eastAsia="zh-CN"/>
              </w:rPr>
              <w:t>21099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8"/>
                <w:szCs w:val="18"/>
                <w:u w:val="none"/>
                <w:lang w:eastAsia="zh-CN"/>
              </w:rPr>
            </w:pPr>
            <w:r>
              <w:rPr>
                <w:rFonts w:hint="eastAsia" w:cs="仿宋"/>
                <w:i w:val="0"/>
                <w:color w:val="000000"/>
                <w:sz w:val="18"/>
                <w:szCs w:val="18"/>
                <w:u w:val="none"/>
                <w:lang w:eastAsia="zh-CN"/>
              </w:rPr>
              <w:t>其他医疗卫生与计划生育支出</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lang w:val="en-US"/>
              </w:rPr>
            </w:pPr>
            <w:r>
              <w:rPr>
                <w:rFonts w:hint="eastAsia" w:cs="仿宋"/>
                <w:i w:val="0"/>
                <w:color w:val="000000"/>
                <w:kern w:val="0"/>
                <w:sz w:val="18"/>
                <w:szCs w:val="18"/>
                <w:u w:val="none"/>
                <w:lang w:val="en-US" w:eastAsia="zh-CN" w:bidi="ar"/>
              </w:rPr>
              <w:t>0.00</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0.00</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0.00</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lang w:val="en-US" w:eastAsia="zh-CN"/>
              </w:rPr>
            </w:pPr>
            <w:r>
              <w:rPr>
                <w:rFonts w:hint="eastAsia" w:cs="仿宋"/>
                <w:i w:val="0"/>
                <w:color w:val="000000"/>
                <w:sz w:val="18"/>
                <w:szCs w:val="18"/>
                <w:u w:val="none"/>
                <w:lang w:val="en-US" w:eastAsia="zh-CN"/>
              </w:rPr>
              <w:t>20.00</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lang w:val="en-US" w:eastAsia="zh-CN"/>
              </w:rPr>
            </w:pPr>
            <w:r>
              <w:rPr>
                <w:rFonts w:hint="eastAsia" w:cs="仿宋"/>
                <w:i w:val="0"/>
                <w:color w:val="000000"/>
                <w:sz w:val="18"/>
                <w:szCs w:val="18"/>
                <w:u w:val="none"/>
                <w:lang w:val="en-US" w:eastAsia="zh-CN"/>
              </w:rPr>
              <w:t>20.00</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0.00</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lang w:val="en-US" w:eastAsia="zh-CN"/>
              </w:rPr>
            </w:pPr>
            <w:r>
              <w:rPr>
                <w:rFonts w:hint="eastAsia" w:cs="仿宋"/>
                <w:i w:val="0"/>
                <w:color w:val="000000"/>
                <w:sz w:val="18"/>
                <w:szCs w:val="18"/>
                <w:u w:val="none"/>
                <w:lang w:val="en-US" w:eastAsia="zh-CN"/>
              </w:rPr>
              <w:t>20.00</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lang w:val="en-US" w:eastAsia="zh-CN"/>
              </w:rPr>
            </w:pPr>
            <w:r>
              <w:rPr>
                <w:rFonts w:hint="eastAsia" w:cs="仿宋"/>
                <w:i w:val="0"/>
                <w:color w:val="000000"/>
                <w:sz w:val="18"/>
                <w:szCs w:val="18"/>
                <w:u w:val="none"/>
                <w:lang w:val="en-US" w:eastAsia="zh-CN"/>
              </w:rPr>
              <w:t>20.00</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0.00</w:t>
            </w: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0.00</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0.00</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0.00</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2" w:type="dxa"/>
          <w:trHeight w:val="480" w:hRule="atLeast"/>
        </w:trPr>
        <w:tc>
          <w:tcPr>
            <w:tcW w:w="14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cs="仿宋"/>
                <w:i w:val="0"/>
                <w:color w:val="000000"/>
                <w:sz w:val="18"/>
                <w:szCs w:val="18"/>
                <w:u w:val="none"/>
                <w:lang w:val="en-US" w:eastAsia="zh-CN"/>
              </w:rPr>
            </w:pPr>
            <w:r>
              <w:rPr>
                <w:rFonts w:hint="eastAsia" w:cs="仿宋"/>
                <w:i w:val="0"/>
                <w:color w:val="000000"/>
                <w:sz w:val="18"/>
                <w:szCs w:val="18"/>
                <w:u w:val="none"/>
                <w:lang w:val="en-US" w:eastAsia="zh-CN"/>
              </w:rPr>
              <w:t>2109901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cs="仿宋"/>
                <w:i w:val="0"/>
                <w:color w:val="000000"/>
                <w:sz w:val="18"/>
                <w:szCs w:val="18"/>
                <w:u w:val="none"/>
                <w:lang w:val="en-US" w:eastAsia="zh-CN"/>
              </w:rPr>
            </w:pPr>
            <w:r>
              <w:rPr>
                <w:rFonts w:hint="eastAsia" w:cs="仿宋"/>
                <w:i w:val="0"/>
                <w:color w:val="000000"/>
                <w:sz w:val="18"/>
                <w:szCs w:val="18"/>
                <w:u w:val="none"/>
                <w:lang w:val="en-US" w:eastAsia="zh-CN"/>
              </w:rPr>
              <w:t xml:space="preserve">  其他医疗卫生与计划生育支出</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仿宋"/>
                <w:i w:val="0"/>
                <w:color w:val="000000"/>
                <w:kern w:val="0"/>
                <w:sz w:val="18"/>
                <w:szCs w:val="18"/>
                <w:u w:val="none"/>
                <w:lang w:val="en-US" w:eastAsia="zh-CN" w:bidi="ar"/>
              </w:rPr>
            </w:pPr>
            <w:r>
              <w:rPr>
                <w:rFonts w:hint="eastAsia" w:cs="仿宋"/>
                <w:i w:val="0"/>
                <w:color w:val="000000"/>
                <w:kern w:val="0"/>
                <w:sz w:val="18"/>
                <w:szCs w:val="18"/>
                <w:u w:val="none"/>
                <w:lang w:val="en-US" w:eastAsia="zh-CN" w:bidi="ar"/>
              </w:rPr>
              <w:t>0.00</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仿宋"/>
                <w:i w:val="0"/>
                <w:color w:val="000000"/>
                <w:kern w:val="0"/>
                <w:sz w:val="18"/>
                <w:szCs w:val="18"/>
                <w:u w:val="none"/>
                <w:lang w:val="en-US" w:eastAsia="zh-CN" w:bidi="ar"/>
              </w:rPr>
            </w:pPr>
            <w:r>
              <w:rPr>
                <w:rFonts w:hint="eastAsia" w:cs="仿宋"/>
                <w:i w:val="0"/>
                <w:color w:val="000000"/>
                <w:kern w:val="0"/>
                <w:sz w:val="18"/>
                <w:szCs w:val="18"/>
                <w:u w:val="none"/>
                <w:lang w:val="en-US" w:eastAsia="zh-CN" w:bidi="ar"/>
              </w:rPr>
              <w:t>0.00</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仿宋"/>
                <w:i w:val="0"/>
                <w:color w:val="000000"/>
                <w:kern w:val="0"/>
                <w:sz w:val="18"/>
                <w:szCs w:val="18"/>
                <w:u w:val="none"/>
                <w:lang w:val="en-US" w:eastAsia="zh-CN" w:bidi="ar"/>
              </w:rPr>
            </w:pPr>
            <w:r>
              <w:rPr>
                <w:rFonts w:hint="eastAsia" w:cs="仿宋"/>
                <w:i w:val="0"/>
                <w:color w:val="000000"/>
                <w:kern w:val="0"/>
                <w:sz w:val="18"/>
                <w:szCs w:val="18"/>
                <w:u w:val="none"/>
                <w:lang w:val="en-US" w:eastAsia="zh-CN" w:bidi="ar"/>
              </w:rPr>
              <w:t>0.00</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仿宋"/>
                <w:i w:val="0"/>
                <w:color w:val="000000"/>
                <w:sz w:val="18"/>
                <w:szCs w:val="18"/>
                <w:u w:val="none"/>
                <w:lang w:val="en-US" w:eastAsia="zh-CN"/>
              </w:rPr>
            </w:pPr>
            <w:r>
              <w:rPr>
                <w:rFonts w:hint="eastAsia" w:cs="仿宋"/>
                <w:i w:val="0"/>
                <w:color w:val="000000"/>
                <w:sz w:val="18"/>
                <w:szCs w:val="18"/>
                <w:u w:val="none"/>
                <w:lang w:val="en-US" w:eastAsia="zh-CN"/>
              </w:rPr>
              <w:t>20.00</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仿宋"/>
                <w:i w:val="0"/>
                <w:color w:val="000000"/>
                <w:sz w:val="18"/>
                <w:szCs w:val="18"/>
                <w:u w:val="none"/>
                <w:lang w:val="en-US" w:eastAsia="zh-CN"/>
              </w:rPr>
            </w:pPr>
            <w:r>
              <w:rPr>
                <w:rFonts w:hint="eastAsia" w:cs="仿宋"/>
                <w:i w:val="0"/>
                <w:color w:val="000000"/>
                <w:sz w:val="18"/>
                <w:szCs w:val="18"/>
                <w:u w:val="none"/>
                <w:lang w:val="en-US" w:eastAsia="zh-CN"/>
              </w:rPr>
              <w:t>20.00</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仿宋"/>
                <w:i w:val="0"/>
                <w:color w:val="000000"/>
                <w:kern w:val="0"/>
                <w:sz w:val="18"/>
                <w:szCs w:val="18"/>
                <w:u w:val="none"/>
                <w:lang w:val="en-US" w:eastAsia="zh-CN" w:bidi="ar"/>
              </w:rPr>
            </w:pPr>
            <w:r>
              <w:rPr>
                <w:rFonts w:hint="eastAsia" w:cs="仿宋"/>
                <w:i w:val="0"/>
                <w:color w:val="000000"/>
                <w:kern w:val="0"/>
                <w:sz w:val="18"/>
                <w:szCs w:val="18"/>
                <w:u w:val="none"/>
                <w:lang w:val="en-US" w:eastAsia="zh-CN" w:bidi="ar"/>
              </w:rPr>
              <w:t>0.00</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仿宋"/>
                <w:i w:val="0"/>
                <w:color w:val="000000"/>
                <w:sz w:val="18"/>
                <w:szCs w:val="18"/>
                <w:u w:val="none"/>
                <w:lang w:val="en-US" w:eastAsia="zh-CN"/>
              </w:rPr>
            </w:pPr>
            <w:r>
              <w:rPr>
                <w:rFonts w:hint="eastAsia" w:cs="仿宋"/>
                <w:i w:val="0"/>
                <w:color w:val="000000"/>
                <w:sz w:val="18"/>
                <w:szCs w:val="18"/>
                <w:u w:val="none"/>
                <w:lang w:val="en-US" w:eastAsia="zh-CN"/>
              </w:rPr>
              <w:t>20.00</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仿宋"/>
                <w:i w:val="0"/>
                <w:color w:val="000000"/>
                <w:sz w:val="18"/>
                <w:szCs w:val="18"/>
                <w:u w:val="none"/>
                <w:lang w:val="en-US" w:eastAsia="zh-CN"/>
              </w:rPr>
            </w:pPr>
            <w:r>
              <w:rPr>
                <w:rFonts w:hint="eastAsia" w:cs="仿宋"/>
                <w:i w:val="0"/>
                <w:color w:val="000000"/>
                <w:sz w:val="18"/>
                <w:szCs w:val="18"/>
                <w:u w:val="none"/>
                <w:lang w:val="en-US" w:eastAsia="zh-CN"/>
              </w:rPr>
              <w:t>20.00</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仿宋"/>
                <w:i w:val="0"/>
                <w:color w:val="000000"/>
                <w:kern w:val="0"/>
                <w:sz w:val="18"/>
                <w:szCs w:val="18"/>
                <w:u w:val="none"/>
                <w:lang w:val="en-US" w:eastAsia="zh-CN" w:bidi="ar"/>
              </w:rPr>
            </w:pPr>
            <w:r>
              <w:rPr>
                <w:rFonts w:hint="eastAsia" w:cs="仿宋"/>
                <w:i w:val="0"/>
                <w:color w:val="000000"/>
                <w:kern w:val="0"/>
                <w:sz w:val="18"/>
                <w:szCs w:val="18"/>
                <w:u w:val="none"/>
                <w:lang w:val="en-US" w:eastAsia="zh-CN" w:bidi="ar"/>
              </w:rPr>
              <w:t>0.00</w:t>
            </w: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仿宋"/>
                <w:i w:val="0"/>
                <w:color w:val="000000"/>
                <w:kern w:val="0"/>
                <w:sz w:val="18"/>
                <w:szCs w:val="18"/>
                <w:u w:val="none"/>
                <w:lang w:val="en-US" w:eastAsia="zh-CN" w:bidi="ar"/>
              </w:rPr>
            </w:pPr>
            <w:r>
              <w:rPr>
                <w:rFonts w:hint="eastAsia" w:cs="仿宋"/>
                <w:i w:val="0"/>
                <w:color w:val="000000"/>
                <w:kern w:val="0"/>
                <w:sz w:val="18"/>
                <w:szCs w:val="18"/>
                <w:u w:val="none"/>
                <w:lang w:val="en-US" w:eastAsia="zh-CN" w:bidi="ar"/>
              </w:rPr>
              <w:t>0.00</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仿宋"/>
                <w:i w:val="0"/>
                <w:color w:val="000000"/>
                <w:kern w:val="0"/>
                <w:sz w:val="18"/>
                <w:szCs w:val="18"/>
                <w:u w:val="none"/>
                <w:lang w:val="en-US" w:eastAsia="zh-CN" w:bidi="ar"/>
              </w:rPr>
            </w:pPr>
            <w:r>
              <w:rPr>
                <w:rFonts w:hint="eastAsia" w:cs="仿宋"/>
                <w:i w:val="0"/>
                <w:color w:val="000000"/>
                <w:kern w:val="0"/>
                <w:sz w:val="18"/>
                <w:szCs w:val="18"/>
                <w:u w:val="none"/>
                <w:lang w:val="en-US" w:eastAsia="zh-CN" w:bidi="ar"/>
              </w:rPr>
              <w:t>0.00</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仿宋"/>
                <w:i w:val="0"/>
                <w:color w:val="000000"/>
                <w:kern w:val="0"/>
                <w:sz w:val="18"/>
                <w:szCs w:val="18"/>
                <w:u w:val="none"/>
                <w:lang w:val="en-US" w:eastAsia="zh-CN" w:bidi="ar"/>
              </w:rPr>
            </w:pPr>
            <w:r>
              <w:rPr>
                <w:rFonts w:hint="eastAsia" w:cs="仿宋"/>
                <w:i w:val="0"/>
                <w:color w:val="000000"/>
                <w:kern w:val="0"/>
                <w:sz w:val="18"/>
                <w:szCs w:val="18"/>
                <w:u w:val="none"/>
                <w:lang w:val="en-US" w:eastAsia="zh-CN" w:bidi="ar"/>
              </w:rPr>
              <w:t>0.00</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仿宋"/>
                <w:i w:val="0"/>
                <w:color w:val="000000"/>
                <w:kern w:val="0"/>
                <w:sz w:val="18"/>
                <w:szCs w:val="18"/>
                <w:u w:val="none"/>
                <w:lang w:val="en-US" w:eastAsia="zh-CN" w:bidi="ar"/>
              </w:rPr>
            </w:pPr>
            <w:r>
              <w:rPr>
                <w:rFonts w:hint="eastAsia" w:cs="仿宋"/>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468" w:type="dxa"/>
            <w:gridSpan w:val="22"/>
            <w:tcBorders>
              <w:top w:val="single" w:color="000000" w:sz="4" w:space="0"/>
            </w:tcBorders>
            <w:shd w:val="clear" w:color="auto" w:fill="auto"/>
            <w:vAlign w:val="center"/>
          </w:tcPr>
          <w:p>
            <w:pPr>
              <w:jc w:val="left"/>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注：本表反映部门本年度一般公共预算财政拨款支出情况。</w:t>
            </w:r>
          </w:p>
        </w:tc>
      </w:tr>
    </w:tbl>
    <w:p>
      <w:pPr>
        <w:spacing w:after="0" w:line="259" w:lineRule="auto"/>
        <w:ind w:left="0" w:leftChars="0" w:right="74" w:firstLine="0" w:firstLineChars="0"/>
        <w:jc w:val="both"/>
        <w:rPr>
          <w:rFonts w:ascii="黑体" w:hAnsi="黑体" w:eastAsia="黑体" w:cs="黑体"/>
        </w:rPr>
      </w:pPr>
    </w:p>
    <w:p>
      <w:pPr>
        <w:spacing w:after="0" w:line="259" w:lineRule="auto"/>
        <w:ind w:left="0" w:leftChars="0" w:right="74" w:firstLine="0" w:firstLineChars="0"/>
        <w:jc w:val="both"/>
        <w:rPr>
          <w:rFonts w:ascii="黑体" w:hAnsi="黑体" w:eastAsia="黑体" w:cs="黑体"/>
        </w:rPr>
      </w:pPr>
    </w:p>
    <w:p>
      <w:pPr>
        <w:spacing w:after="0" w:line="259" w:lineRule="auto"/>
        <w:ind w:left="0" w:leftChars="0" w:right="74" w:firstLine="0" w:firstLineChars="0"/>
        <w:jc w:val="both"/>
        <w:rPr>
          <w:rFonts w:ascii="黑体" w:hAnsi="黑体" w:eastAsia="黑体" w:cs="黑体"/>
        </w:rPr>
      </w:pPr>
    </w:p>
    <w:p>
      <w:pPr>
        <w:spacing w:after="0" w:line="259" w:lineRule="auto"/>
        <w:ind w:left="0" w:leftChars="0" w:right="74" w:firstLine="0" w:firstLineChars="0"/>
        <w:jc w:val="center"/>
      </w:pPr>
      <w:r>
        <w:rPr>
          <w:rFonts w:ascii="黑体" w:hAnsi="黑体" w:eastAsia="黑体" w:cs="黑体"/>
        </w:rPr>
        <w:t>一般公共预算财政拨款基本支出决算表</w:t>
      </w:r>
    </w:p>
    <w:p>
      <w:pPr>
        <w:spacing w:after="0" w:line="259" w:lineRule="auto"/>
        <w:ind w:left="0" w:right="84" w:firstLine="0"/>
        <w:jc w:val="right"/>
        <w:rPr>
          <w:sz w:val="21"/>
        </w:rPr>
      </w:pPr>
      <w:r>
        <w:rPr>
          <w:rFonts w:hint="eastAsia"/>
          <w:sz w:val="21"/>
          <w:lang w:val="en-US" w:eastAsia="zh-CN"/>
        </w:rPr>
        <w:t xml:space="preserve">   </w:t>
      </w:r>
      <w:r>
        <w:rPr>
          <w:sz w:val="21"/>
        </w:rPr>
        <w:t>公开06表</w:t>
      </w:r>
    </w:p>
    <w:p>
      <w:pPr>
        <w:spacing w:after="0" w:line="259" w:lineRule="auto"/>
        <w:ind w:left="0" w:right="84" w:firstLine="0"/>
        <w:jc w:val="right"/>
        <w:rPr>
          <w:sz w:val="21"/>
        </w:rPr>
      </w:pPr>
      <w:r>
        <w:rPr>
          <w:sz w:val="21"/>
        </w:rPr>
        <w:t>部门：</w:t>
      </w:r>
      <w:r>
        <w:rPr>
          <w:rFonts w:hint="eastAsia"/>
          <w:sz w:val="21"/>
          <w:lang w:val="en-US" w:eastAsia="zh-CN"/>
        </w:rPr>
        <w:t>菏泽市第二人民医院</w:t>
      </w:r>
      <w:r>
        <w:rPr>
          <w:sz w:val="21"/>
        </w:rPr>
        <w:t xml:space="preserve">  </w:t>
      </w:r>
      <w:r>
        <w:rPr>
          <w:rFonts w:ascii="黑体" w:hAnsi="黑体" w:eastAsia="黑体" w:cs="黑体"/>
          <w:sz w:val="30"/>
        </w:rPr>
        <w:t xml:space="preserve">                            </w:t>
      </w:r>
      <w:r>
        <w:rPr>
          <w:sz w:val="21"/>
        </w:rPr>
        <w:t xml:space="preserve">                                                 </w:t>
      </w:r>
      <w:r>
        <w:rPr>
          <w:rFonts w:hint="eastAsia"/>
          <w:sz w:val="21"/>
          <w:lang w:val="en-US" w:eastAsia="zh-CN"/>
        </w:rPr>
        <w:t xml:space="preserve">  </w:t>
      </w:r>
      <w:r>
        <w:rPr>
          <w:sz w:val="21"/>
        </w:rPr>
        <w:t>金额单位：万元</w:t>
      </w:r>
    </w:p>
    <w:tbl>
      <w:tblPr>
        <w:tblStyle w:val="16"/>
        <w:tblW w:w="14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00"/>
        <w:gridCol w:w="3224"/>
        <w:gridCol w:w="1440"/>
        <w:gridCol w:w="600"/>
        <w:gridCol w:w="2280"/>
        <w:gridCol w:w="1440"/>
        <w:gridCol w:w="600"/>
        <w:gridCol w:w="2715"/>
        <w:gridCol w:w="14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52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人员经费</w:t>
            </w:r>
          </w:p>
        </w:tc>
        <w:tc>
          <w:tcPr>
            <w:tcW w:w="907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科目</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编码</w:t>
            </w:r>
          </w:p>
        </w:tc>
        <w:tc>
          <w:tcPr>
            <w:tcW w:w="32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科目名称</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金额</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科目</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编码</w:t>
            </w:r>
          </w:p>
        </w:tc>
        <w:tc>
          <w:tcPr>
            <w:tcW w:w="22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科目名称</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金额</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科目</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编码</w:t>
            </w:r>
          </w:p>
        </w:tc>
        <w:tc>
          <w:tcPr>
            <w:tcW w:w="2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科目名称</w:t>
            </w:r>
          </w:p>
        </w:tc>
        <w:tc>
          <w:tcPr>
            <w:tcW w:w="14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32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2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301</w:t>
            </w: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工资福利支出</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w:t>
            </w:r>
            <w:r>
              <w:rPr>
                <w:rFonts w:hint="eastAsia" w:ascii="仿宋" w:hAnsi="仿宋" w:eastAsia="仿宋" w:cs="仿宋"/>
                <w:i w:val="0"/>
                <w:color w:val="000000"/>
                <w:kern w:val="0"/>
                <w:sz w:val="18"/>
                <w:szCs w:val="18"/>
                <w:u w:val="none"/>
                <w:lang w:val="en-US" w:eastAsia="zh-CN" w:bidi="ar"/>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302</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商品和服务支出</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109.95</w:t>
            </w:r>
            <w:r>
              <w:rPr>
                <w:rFonts w:hint="eastAsia" w:ascii="仿宋" w:hAnsi="仿宋" w:eastAsia="仿宋" w:cs="仿宋"/>
                <w:i w:val="0"/>
                <w:color w:val="000000"/>
                <w:kern w:val="0"/>
                <w:sz w:val="18"/>
                <w:szCs w:val="18"/>
                <w:u w:val="none"/>
                <w:lang w:val="en-US" w:eastAsia="zh-CN" w:bidi="ar"/>
              </w:rPr>
              <w:t xml:space="preserve"> </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310</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其他资本性支出</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30101</w:t>
            </w: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基本工资</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10.</w:t>
            </w:r>
            <w:r>
              <w:rPr>
                <w:rFonts w:hint="eastAsia" w:ascii="仿宋" w:hAnsi="仿宋" w:eastAsia="仿宋" w:cs="仿宋"/>
                <w:i w:val="0"/>
                <w:color w:val="000000"/>
                <w:kern w:val="0"/>
                <w:sz w:val="18"/>
                <w:szCs w:val="18"/>
                <w:u w:val="none"/>
                <w:lang w:val="en-US" w:eastAsia="zh-CN" w:bidi="ar"/>
              </w:rPr>
              <w:t>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30201</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办公费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31001</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房屋建筑物购建</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30102</w:t>
            </w: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津贴补贴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lang w:val="en-US" w:eastAsia="zh-CN"/>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30202</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印刷费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31002</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办公设备购置</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30103</w:t>
            </w: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奖金</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30203</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咨询费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31003</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专用设备购置</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30104</w:t>
            </w: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其他社会保障缴费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30204</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手续费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31005</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基础设施建设</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30106</w:t>
            </w: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伙食补助费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30205</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水费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31006</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大型修缮</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30107</w:t>
            </w: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绩效工资</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30206</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电费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31007</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信息网络及软件购置更新</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30108</w:t>
            </w: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机关事业单位基本养老保险缴费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30207</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邮电费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31008</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物资储备</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30109</w:t>
            </w: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职业年金缴费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30208</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取暖费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31009</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土地补偿</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30199</w:t>
            </w: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其他工资福利支出</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30209</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物业管理费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31010</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安置补助</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303</w:t>
            </w: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对个人和家庭的补助</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lang w:val="en-US" w:eastAsia="zh-CN"/>
              </w:rPr>
            </w:pPr>
            <w:r>
              <w:rPr>
                <w:rFonts w:hint="eastAsia" w:cs="仿宋"/>
                <w:i w:val="0"/>
                <w:color w:val="000000"/>
                <w:sz w:val="18"/>
                <w:szCs w:val="18"/>
                <w:u w:val="none"/>
                <w:lang w:val="en-US" w:eastAsia="zh-CN"/>
              </w:rPr>
              <w:t>30.00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30211</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差旅费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31011</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地上附着物和青苗补偿</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30301</w:t>
            </w: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离休费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lang w:val="en-US" w:eastAsia="zh-CN"/>
              </w:rPr>
            </w:pPr>
            <w:r>
              <w:rPr>
                <w:rFonts w:hint="eastAsia" w:cs="仿宋"/>
                <w:i w:val="0"/>
                <w:color w:val="000000"/>
                <w:sz w:val="18"/>
                <w:szCs w:val="18"/>
                <w:u w:val="none"/>
                <w:lang w:val="en-US" w:eastAsia="zh-CN"/>
              </w:rPr>
              <w:t>10.00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30212</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因公出国（境）费用</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31012</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拆迁补偿</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30302</w:t>
            </w: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退休费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lang w:val="en-US" w:eastAsia="zh-CN"/>
              </w:rPr>
            </w:pPr>
            <w:r>
              <w:rPr>
                <w:rFonts w:hint="eastAsia" w:cs="仿宋"/>
                <w:i w:val="0"/>
                <w:color w:val="000000"/>
                <w:sz w:val="18"/>
                <w:szCs w:val="18"/>
                <w:u w:val="none"/>
                <w:lang w:val="en-US" w:eastAsia="zh-CN"/>
              </w:rPr>
              <w:t>20.00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30213</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维修(护)费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31013</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公务用车购置</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30303</w:t>
            </w: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退职（役）费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30214</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租赁费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31019</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其他交通工具购置</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30304</w:t>
            </w: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抚恤金</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30215</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会议费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31020</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产权参股</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30305</w:t>
            </w: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生活补助</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30216</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培训费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31099</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其他资本性支出</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30306</w:t>
            </w: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救济费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30217</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公务接待费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304</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对企事业单位的补贴</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30307</w:t>
            </w: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医疗费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30218</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专用材料费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109.95</w:t>
            </w:r>
            <w:r>
              <w:rPr>
                <w:rFonts w:hint="eastAsia" w:ascii="仿宋" w:hAnsi="仿宋" w:eastAsia="仿宋" w:cs="仿宋"/>
                <w:i w:val="0"/>
                <w:color w:val="000000"/>
                <w:kern w:val="0"/>
                <w:sz w:val="18"/>
                <w:szCs w:val="18"/>
                <w:u w:val="none"/>
                <w:lang w:val="en-US" w:eastAsia="zh-CN" w:bidi="ar"/>
              </w:rPr>
              <w:t xml:space="preserve"> </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30401</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企业政策性补贴</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30308</w:t>
            </w: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助学金</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30224</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被装购置费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30402</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事业单位补贴</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30309</w:t>
            </w: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奖励金</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30225</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专用燃料费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30403</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财政贴息</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30310</w:t>
            </w: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生产补贴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30226</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劳务费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30499</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其他对企事业单位的补贴</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30311</w:t>
            </w: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住房公积金</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30227</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委托业务费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307</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债务利息支出</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30312</w:t>
            </w: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提租补贴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30228</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工会经费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30701</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国内债务付息</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30313</w:t>
            </w: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购房补贴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30229</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福利费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30707</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国外债务付息</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30314</w:t>
            </w: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采暖补贴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30231</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公务用车运行维护费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399</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其他支出</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30315</w:t>
            </w: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物业服务补贴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30239</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其他交通费用</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39906</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赠与</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30399</w:t>
            </w: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其他对个人和家庭的补助支出</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30240</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税金及附加费用</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8"/>
                <w:szCs w:val="18"/>
                <w:u w:val="none"/>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8"/>
                <w:szCs w:val="18"/>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8"/>
                <w:szCs w:val="18"/>
                <w:u w:val="none"/>
              </w:rPr>
            </w:pP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30299</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其他商品和服务支出</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0.0</w:t>
            </w:r>
            <w:r>
              <w:rPr>
                <w:rFonts w:hint="eastAsia" w:ascii="仿宋" w:hAnsi="仿宋" w:eastAsia="仿宋" w:cs="仿宋"/>
                <w:i w:val="0"/>
                <w:color w:val="000000"/>
                <w:kern w:val="0"/>
                <w:sz w:val="18"/>
                <w:szCs w:val="18"/>
                <w:u w:val="none"/>
                <w:lang w:val="en-US" w:eastAsia="zh-CN" w:bidi="ar"/>
              </w:rPr>
              <w:t xml:space="preserve">0 </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8"/>
                <w:szCs w:val="18"/>
                <w:u w:val="none"/>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8"/>
                <w:szCs w:val="18"/>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人员经费合计</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40.00</w:t>
            </w:r>
          </w:p>
        </w:tc>
        <w:tc>
          <w:tcPr>
            <w:tcW w:w="76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公用经费合计</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109.95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4340" w:type="dxa"/>
            <w:gridSpan w:val="9"/>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注:本表反映部门本年度一般公共预算财政拨款基本支出明细情况。</w:t>
            </w:r>
          </w:p>
        </w:tc>
      </w:tr>
    </w:tbl>
    <w:p>
      <w:pPr>
        <w:spacing w:after="0" w:line="259" w:lineRule="auto"/>
        <w:ind w:left="0" w:firstLine="0"/>
      </w:pPr>
    </w:p>
    <w:p>
      <w:pPr>
        <w:spacing w:after="0" w:line="259" w:lineRule="auto"/>
        <w:ind w:left="0" w:firstLine="0"/>
      </w:pPr>
    </w:p>
    <w:p>
      <w:pPr>
        <w:spacing w:after="0" w:line="259" w:lineRule="auto"/>
        <w:ind w:right="171"/>
        <w:jc w:val="center"/>
        <w:rPr>
          <w:rFonts w:ascii="黑体" w:hAnsi="黑体" w:eastAsia="黑体" w:cs="黑体"/>
        </w:rPr>
      </w:pPr>
    </w:p>
    <w:p>
      <w:pPr>
        <w:spacing w:after="0" w:line="259" w:lineRule="auto"/>
        <w:ind w:right="171"/>
        <w:jc w:val="center"/>
        <w:rPr>
          <w:rFonts w:ascii="黑体" w:hAnsi="黑体" w:eastAsia="黑体" w:cs="黑体"/>
        </w:rPr>
      </w:pPr>
    </w:p>
    <w:p>
      <w:pPr>
        <w:spacing w:after="0" w:line="259" w:lineRule="auto"/>
        <w:ind w:left="0" w:leftChars="0" w:right="171" w:firstLine="0" w:firstLineChars="0"/>
        <w:jc w:val="both"/>
        <w:rPr>
          <w:rFonts w:ascii="黑体" w:hAnsi="黑体" w:eastAsia="黑体" w:cs="黑体"/>
        </w:rPr>
      </w:pPr>
    </w:p>
    <w:p>
      <w:pPr>
        <w:spacing w:after="0" w:line="259" w:lineRule="auto"/>
        <w:ind w:left="0" w:leftChars="0" w:right="171" w:firstLine="0" w:firstLineChars="0"/>
        <w:jc w:val="both"/>
        <w:rPr>
          <w:rFonts w:ascii="黑体" w:hAnsi="黑体" w:eastAsia="黑体" w:cs="黑体"/>
        </w:rPr>
      </w:pPr>
    </w:p>
    <w:p>
      <w:pPr>
        <w:spacing w:after="0" w:line="259" w:lineRule="auto"/>
        <w:ind w:left="0" w:leftChars="0" w:right="171" w:firstLine="0" w:firstLineChars="0"/>
        <w:jc w:val="both"/>
        <w:rPr>
          <w:rFonts w:ascii="黑体" w:hAnsi="黑体" w:eastAsia="黑体" w:cs="黑体"/>
        </w:rPr>
      </w:pPr>
    </w:p>
    <w:p>
      <w:pPr>
        <w:spacing w:after="0" w:line="259" w:lineRule="auto"/>
        <w:ind w:right="171"/>
        <w:jc w:val="center"/>
        <w:rPr>
          <w:rFonts w:ascii="黑体" w:hAnsi="黑体" w:eastAsia="黑体" w:cs="黑体"/>
        </w:rPr>
      </w:pPr>
    </w:p>
    <w:p>
      <w:pPr>
        <w:spacing w:after="0" w:line="259" w:lineRule="auto"/>
        <w:ind w:right="171"/>
        <w:jc w:val="center"/>
      </w:pPr>
      <w:r>
        <w:rPr>
          <w:rFonts w:ascii="黑体" w:hAnsi="黑体" w:eastAsia="黑体" w:cs="黑体"/>
        </w:rPr>
        <w:t xml:space="preserve">政府性基金预算财政拨款收入支出决算表 </w:t>
      </w:r>
    </w:p>
    <w:p>
      <w:pPr>
        <w:spacing w:after="0" w:line="259" w:lineRule="auto"/>
        <w:ind w:left="0" w:right="105" w:firstLine="0"/>
        <w:jc w:val="right"/>
      </w:pPr>
      <w:r>
        <w:rPr>
          <w:rFonts w:ascii="黑体" w:hAnsi="黑体" w:eastAsia="黑体" w:cs="黑体"/>
          <w:sz w:val="30"/>
        </w:rPr>
        <w:t xml:space="preserve">                                                                   </w:t>
      </w:r>
      <w:r>
        <w:rPr>
          <w:sz w:val="21"/>
        </w:rPr>
        <w:t>公开07表</w:t>
      </w:r>
      <w:r>
        <w:rPr>
          <w:sz w:val="30"/>
          <w:vertAlign w:val="subscript"/>
        </w:rPr>
        <w:t xml:space="preserve"> </w:t>
      </w:r>
    </w:p>
    <w:p>
      <w:pPr>
        <w:spacing w:line="267" w:lineRule="auto"/>
        <w:ind w:left="0" w:leftChars="0" w:firstLine="0" w:firstLineChars="0"/>
        <w:rPr>
          <w:sz w:val="21"/>
        </w:rPr>
      </w:pPr>
      <w:r>
        <w:rPr>
          <w:sz w:val="21"/>
        </w:rPr>
        <w:t>部门：</w:t>
      </w:r>
      <w:r>
        <w:rPr>
          <w:rFonts w:hint="eastAsia"/>
          <w:sz w:val="21"/>
          <w:lang w:val="en-US" w:eastAsia="zh-CN"/>
        </w:rPr>
        <w:t>菏泽市第二人民医院</w:t>
      </w:r>
      <w:r>
        <w:rPr>
          <w:rFonts w:ascii="黑体" w:hAnsi="黑体" w:eastAsia="黑体" w:cs="黑体"/>
          <w:sz w:val="30"/>
        </w:rPr>
        <w:t xml:space="preserve">                                                                </w:t>
      </w:r>
      <w:r>
        <w:rPr>
          <w:rFonts w:hint="eastAsia" w:ascii="黑体" w:hAnsi="黑体" w:eastAsia="黑体" w:cs="黑体"/>
          <w:sz w:val="30"/>
          <w:lang w:val="en-US" w:eastAsia="zh-CN"/>
        </w:rPr>
        <w:t xml:space="preserve">   </w:t>
      </w:r>
      <w:r>
        <w:rPr>
          <w:sz w:val="21"/>
        </w:rPr>
        <w:t xml:space="preserve">金额单位：万元 </w:t>
      </w:r>
    </w:p>
    <w:tbl>
      <w:tblPr>
        <w:tblStyle w:val="16"/>
        <w:tblW w:w="139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40"/>
        <w:gridCol w:w="1059"/>
        <w:gridCol w:w="416"/>
        <w:gridCol w:w="1030"/>
        <w:gridCol w:w="562"/>
        <w:gridCol w:w="825"/>
        <w:gridCol w:w="884"/>
        <w:gridCol w:w="781"/>
        <w:gridCol w:w="796"/>
        <w:gridCol w:w="913"/>
        <w:gridCol w:w="650"/>
        <w:gridCol w:w="855"/>
        <w:gridCol w:w="767"/>
        <w:gridCol w:w="840"/>
        <w:gridCol w:w="913"/>
        <w:gridCol w:w="986"/>
        <w:gridCol w:w="9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97" w:hRule="atLeast"/>
        </w:trPr>
        <w:tc>
          <w:tcPr>
            <w:tcW w:w="211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科目编码</w:t>
            </w:r>
          </w:p>
        </w:tc>
        <w:tc>
          <w:tcPr>
            <w:tcW w:w="1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科目名称</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年初结转和结余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color w:val="000000"/>
                <w:sz w:val="18"/>
                <w:szCs w:val="18"/>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color w:val="000000"/>
                <w:sz w:val="18"/>
                <w:szCs w:val="18"/>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本年收入</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color w:val="000000"/>
                <w:sz w:val="18"/>
                <w:szCs w:val="18"/>
                <w:u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color w:val="000000"/>
                <w:sz w:val="18"/>
                <w:szCs w:val="18"/>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本年支出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color w:val="000000"/>
                <w:sz w:val="18"/>
                <w:szCs w:val="18"/>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年末结转和结余</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color w:val="000000"/>
                <w:sz w:val="18"/>
                <w:szCs w:val="18"/>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color w:val="000000"/>
                <w:sz w:val="18"/>
                <w:szCs w:val="18"/>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211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5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合计</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基本支出结转</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项目支出结转和结余</w:t>
            </w:r>
          </w:p>
        </w:tc>
        <w:tc>
          <w:tcPr>
            <w:tcW w:w="7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合计</w:t>
            </w:r>
          </w:p>
        </w:tc>
        <w:tc>
          <w:tcPr>
            <w:tcW w:w="7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基本</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支出</w:t>
            </w:r>
          </w:p>
        </w:tc>
        <w:tc>
          <w:tcPr>
            <w:tcW w:w="9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项目</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支出</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合计</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基本</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支出</w:t>
            </w:r>
          </w:p>
        </w:tc>
        <w:tc>
          <w:tcPr>
            <w:tcW w:w="7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项目</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支出</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合计</w:t>
            </w:r>
          </w:p>
        </w:tc>
        <w:tc>
          <w:tcPr>
            <w:tcW w:w="9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基本支出结转</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项目支出结转和结余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7" w:hRule="atLeast"/>
        </w:trPr>
        <w:tc>
          <w:tcPr>
            <w:tcW w:w="211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9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9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项目支出结转</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项目支出结余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类</w:t>
            </w:r>
          </w:p>
        </w:tc>
        <w:tc>
          <w:tcPr>
            <w:tcW w:w="10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款</w:t>
            </w:r>
          </w:p>
        </w:tc>
        <w:tc>
          <w:tcPr>
            <w:tcW w:w="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项</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栏次</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6</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8</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10</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11</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12</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合计</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lang w:val="en-US" w:eastAsia="zh-CN"/>
              </w:rPr>
            </w:pPr>
            <w:r>
              <w:rPr>
                <w:rFonts w:hint="eastAsia" w:cs="仿宋"/>
                <w:i w:val="0"/>
                <w:color w:val="000000"/>
                <w:sz w:val="18"/>
                <w:szCs w:val="18"/>
                <w:u w:val="none"/>
                <w:lang w:val="en-US" w:eastAsia="zh-CN"/>
              </w:rPr>
              <w:t>0.00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7"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3905" w:type="dxa"/>
            <w:gridSpan w:val="17"/>
            <w:tcBorders>
              <w:top w:val="single" w:color="000000" w:sz="4" w:space="0"/>
            </w:tcBorders>
            <w:shd w:val="clear" w:color="auto" w:fill="auto"/>
            <w:vAlign w:val="center"/>
          </w:tcPr>
          <w:p>
            <w:pP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注：本表反映部门本年度政府性基金预算财政拨款收入支出及结转和结余情况。</w:t>
            </w:r>
          </w:p>
        </w:tc>
      </w:tr>
    </w:tbl>
    <w:p>
      <w:pPr>
        <w:spacing w:line="267" w:lineRule="auto"/>
        <w:ind w:left="-5"/>
        <w:rPr>
          <w:rFonts w:hint="eastAsia" w:ascii="仿宋" w:hAnsi="仿宋" w:eastAsia="仿宋" w:cs="仿宋"/>
          <w:sz w:val="18"/>
          <w:szCs w:val="18"/>
        </w:rPr>
      </w:pPr>
    </w:p>
    <w:p>
      <w:pPr>
        <w:rPr>
          <w:rFonts w:hint="eastAsia" w:ascii="仿宋" w:hAnsi="仿宋" w:eastAsia="仿宋" w:cs="仿宋"/>
          <w:i w:val="0"/>
          <w:color w:val="000000"/>
          <w:kern w:val="0"/>
          <w:sz w:val="18"/>
          <w:szCs w:val="18"/>
          <w:u w:val="none"/>
          <w:lang w:val="en-US" w:eastAsia="zh-CN" w:bidi="ar"/>
        </w:rPr>
        <w:sectPr>
          <w:footerReference r:id="rId8" w:type="first"/>
          <w:footerReference r:id="rId6" w:type="default"/>
          <w:footerReference r:id="rId7" w:type="even"/>
          <w:pgSz w:w="16840" w:h="11904" w:orient="landscape"/>
          <w:pgMar w:top="1179" w:right="1433" w:bottom="1877" w:left="1327" w:header="720" w:footer="1026" w:gutter="0"/>
          <w:cols w:space="0" w:num="1"/>
          <w:rtlGutter w:val="0"/>
          <w:docGrid w:linePitch="0" w:charSpace="0"/>
        </w:sectPr>
      </w:pPr>
      <w:r>
        <w:rPr>
          <w:rFonts w:hint="eastAsia" w:ascii="仿宋" w:hAnsi="仿宋" w:eastAsia="仿宋" w:cs="仿宋"/>
          <w:i w:val="0"/>
          <w:color w:val="000000"/>
          <w:kern w:val="0"/>
          <w:sz w:val="24"/>
          <w:szCs w:val="24"/>
          <w:u w:val="none"/>
          <w:lang w:val="en-US" w:eastAsia="zh-CN" w:bidi="ar"/>
        </w:rPr>
        <w:t>菏泽市第二人民医院没有政府性基金收入，也没有使用政府性基金安排的支出，故本表无数据。</w:t>
      </w:r>
    </w:p>
    <w:p>
      <w:pPr>
        <w:spacing w:after="0" w:line="259" w:lineRule="auto"/>
        <w:ind w:left="904" w:firstLine="0"/>
        <w:rPr>
          <w:sz w:val="30"/>
        </w:rPr>
      </w:pPr>
      <w:r>
        <w:rPr>
          <w:sz w:val="30"/>
        </w:rPr>
        <w:t xml:space="preserve"> </w:t>
      </w:r>
    </w:p>
    <w:tbl>
      <w:tblPr>
        <w:tblStyle w:val="16"/>
        <w:tblW w:w="13967" w:type="dxa"/>
        <w:tblInd w:w="0" w:type="dxa"/>
        <w:tblLayout w:type="fixed"/>
        <w:tblCellMar>
          <w:top w:w="0" w:type="dxa"/>
          <w:left w:w="108" w:type="dxa"/>
          <w:bottom w:w="0" w:type="dxa"/>
          <w:right w:w="108" w:type="dxa"/>
        </w:tblCellMar>
      </w:tblPr>
      <w:tblGrid>
        <w:gridCol w:w="1238"/>
        <w:gridCol w:w="1261"/>
        <w:gridCol w:w="1240"/>
        <w:gridCol w:w="1240"/>
        <w:gridCol w:w="1246"/>
        <w:gridCol w:w="1008"/>
        <w:gridCol w:w="1154"/>
        <w:gridCol w:w="642"/>
        <w:gridCol w:w="617"/>
        <w:gridCol w:w="623"/>
        <w:gridCol w:w="279"/>
        <w:gridCol w:w="964"/>
        <w:gridCol w:w="117"/>
        <w:gridCol w:w="1126"/>
        <w:gridCol w:w="137"/>
        <w:gridCol w:w="1075"/>
      </w:tblGrid>
      <w:tr>
        <w:tblPrEx>
          <w:tblLayout w:type="fixed"/>
          <w:tblCellMar>
            <w:top w:w="0" w:type="dxa"/>
            <w:left w:w="108" w:type="dxa"/>
            <w:bottom w:w="0" w:type="dxa"/>
            <w:right w:w="108" w:type="dxa"/>
          </w:tblCellMar>
        </w:tblPrEx>
        <w:trPr>
          <w:trHeight w:val="435" w:hRule="atLeast"/>
        </w:trPr>
        <w:tc>
          <w:tcPr>
            <w:tcW w:w="13967" w:type="dxa"/>
            <w:gridSpan w:val="16"/>
            <w:tcBorders>
              <w:top w:val="nil"/>
              <w:left w:val="nil"/>
              <w:bottom w:val="nil"/>
              <w:right w:val="nil"/>
            </w:tcBorders>
            <w:shd w:val="clear" w:color="auto" w:fill="FFFFFF"/>
            <w:noWrap w:val="0"/>
            <w:vAlign w:val="center"/>
          </w:tcPr>
          <w:p>
            <w:pPr>
              <w:widowControl/>
              <w:jc w:val="center"/>
              <w:rPr>
                <w:rFonts w:hint="eastAsia" w:ascii="华文中宋" w:hAnsi="华文中宋" w:eastAsia="华文中宋" w:cs="宋体"/>
                <w:kern w:val="0"/>
                <w:sz w:val="32"/>
                <w:szCs w:val="32"/>
              </w:rPr>
            </w:pPr>
          </w:p>
          <w:p>
            <w:pPr>
              <w:widowControl/>
              <w:jc w:val="center"/>
              <w:rPr>
                <w:rFonts w:ascii="华文中宋" w:hAnsi="华文中宋" w:eastAsia="华文中宋" w:cs="宋体"/>
                <w:kern w:val="0"/>
                <w:sz w:val="32"/>
                <w:szCs w:val="32"/>
              </w:rPr>
            </w:pPr>
            <w:r>
              <w:rPr>
                <w:rFonts w:hint="eastAsia" w:ascii="仿宋_GB2312" w:hAnsi="宋体" w:eastAsia="仿宋_GB2312" w:cs="宋体"/>
                <w:b/>
                <w:kern w:val="0"/>
                <w:sz w:val="30"/>
                <w:szCs w:val="30"/>
              </w:rPr>
              <w:t>一般公共预算财政拨款“三公”经费支出决算表</w:t>
            </w:r>
          </w:p>
        </w:tc>
      </w:tr>
      <w:tr>
        <w:tblPrEx>
          <w:tblLayout w:type="fixed"/>
          <w:tblCellMar>
            <w:top w:w="0" w:type="dxa"/>
            <w:left w:w="108" w:type="dxa"/>
            <w:bottom w:w="0" w:type="dxa"/>
            <w:right w:w="108" w:type="dxa"/>
          </w:tblCellMar>
        </w:tblPrEx>
        <w:trPr>
          <w:trHeight w:val="285" w:hRule="atLeast"/>
        </w:trPr>
        <w:tc>
          <w:tcPr>
            <w:tcW w:w="1238" w:type="dxa"/>
            <w:tcBorders>
              <w:top w:val="nil"/>
              <w:left w:val="nil"/>
              <w:bottom w:val="nil"/>
              <w:right w:val="nil"/>
            </w:tcBorders>
            <w:shd w:val="clear" w:color="auto"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61" w:type="dxa"/>
            <w:tcBorders>
              <w:top w:val="nil"/>
              <w:left w:val="nil"/>
              <w:bottom w:val="nil"/>
              <w:right w:val="nil"/>
            </w:tcBorders>
            <w:shd w:val="clear" w:color="auto"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40" w:type="dxa"/>
            <w:tcBorders>
              <w:top w:val="nil"/>
              <w:left w:val="nil"/>
              <w:bottom w:val="nil"/>
              <w:right w:val="nil"/>
            </w:tcBorders>
            <w:shd w:val="clear" w:color="auto"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40" w:type="dxa"/>
            <w:tcBorders>
              <w:top w:val="nil"/>
              <w:left w:val="nil"/>
              <w:bottom w:val="nil"/>
              <w:right w:val="nil"/>
            </w:tcBorders>
            <w:shd w:val="clear" w:color="auto"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46" w:type="dxa"/>
            <w:tcBorders>
              <w:top w:val="nil"/>
              <w:left w:val="nil"/>
              <w:bottom w:val="nil"/>
              <w:right w:val="nil"/>
            </w:tcBorders>
            <w:shd w:val="clear" w:color="auto"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08" w:type="dxa"/>
            <w:tcBorders>
              <w:top w:val="nil"/>
              <w:left w:val="nil"/>
              <w:bottom w:val="nil"/>
              <w:right w:val="nil"/>
            </w:tcBorders>
            <w:shd w:val="clear" w:color="auto"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796" w:type="dxa"/>
            <w:gridSpan w:val="2"/>
            <w:tcBorders>
              <w:top w:val="nil"/>
              <w:left w:val="nil"/>
              <w:bottom w:val="nil"/>
              <w:right w:val="nil"/>
            </w:tcBorders>
            <w:shd w:val="clear" w:color="auto"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40" w:type="dxa"/>
            <w:gridSpan w:val="2"/>
            <w:tcBorders>
              <w:top w:val="nil"/>
              <w:left w:val="nil"/>
              <w:bottom w:val="nil"/>
              <w:right w:val="nil"/>
            </w:tcBorders>
            <w:shd w:val="clear" w:color="auto"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43" w:type="dxa"/>
            <w:gridSpan w:val="2"/>
            <w:tcBorders>
              <w:top w:val="nil"/>
              <w:left w:val="nil"/>
              <w:bottom w:val="nil"/>
              <w:right w:val="nil"/>
            </w:tcBorders>
            <w:shd w:val="clear" w:color="auto"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43" w:type="dxa"/>
            <w:gridSpan w:val="2"/>
            <w:tcBorders>
              <w:top w:val="nil"/>
              <w:left w:val="nil"/>
              <w:bottom w:val="nil"/>
              <w:right w:val="nil"/>
            </w:tcBorders>
            <w:shd w:val="clear" w:color="auto"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12" w:type="dxa"/>
            <w:gridSpan w:val="2"/>
            <w:tcBorders>
              <w:top w:val="nil"/>
              <w:left w:val="nil"/>
              <w:bottom w:val="nil"/>
              <w:right w:val="nil"/>
            </w:tcBorders>
            <w:shd w:val="clear" w:color="auto"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公开08表</w:t>
            </w:r>
          </w:p>
        </w:tc>
      </w:tr>
      <w:tr>
        <w:tblPrEx>
          <w:tblLayout w:type="fixed"/>
          <w:tblCellMar>
            <w:top w:w="0" w:type="dxa"/>
            <w:left w:w="108" w:type="dxa"/>
            <w:bottom w:w="0" w:type="dxa"/>
            <w:right w:w="108" w:type="dxa"/>
          </w:tblCellMar>
        </w:tblPrEx>
        <w:trPr>
          <w:trHeight w:val="313" w:hRule="atLeast"/>
        </w:trPr>
        <w:tc>
          <w:tcPr>
            <w:tcW w:w="3739" w:type="dxa"/>
            <w:gridSpan w:val="3"/>
            <w:tcBorders>
              <w:top w:val="nil"/>
              <w:left w:val="nil"/>
              <w:bottom w:val="nil"/>
              <w:right w:val="nil"/>
            </w:tcBorders>
            <w:shd w:val="clear" w:color="auto"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部门：</w:t>
            </w:r>
            <w:r>
              <w:rPr>
                <w:rFonts w:hint="eastAsia" w:ascii="宋体" w:hAnsi="宋体" w:cs="宋体"/>
                <w:kern w:val="0"/>
                <w:sz w:val="20"/>
                <w:szCs w:val="20"/>
                <w:lang w:eastAsia="zh-CN"/>
              </w:rPr>
              <w:t>菏泽市第二人民医院</w:t>
            </w:r>
          </w:p>
        </w:tc>
        <w:tc>
          <w:tcPr>
            <w:tcW w:w="1240" w:type="dxa"/>
            <w:tcBorders>
              <w:top w:val="nil"/>
              <w:left w:val="nil"/>
              <w:bottom w:val="nil"/>
              <w:right w:val="nil"/>
            </w:tcBorders>
            <w:shd w:val="clear" w:color="auto"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46" w:type="dxa"/>
            <w:tcBorders>
              <w:top w:val="nil"/>
              <w:left w:val="nil"/>
              <w:bottom w:val="nil"/>
              <w:right w:val="nil"/>
            </w:tcBorders>
            <w:shd w:val="clear" w:color="auto"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08" w:type="dxa"/>
            <w:tcBorders>
              <w:top w:val="nil"/>
              <w:left w:val="nil"/>
              <w:bottom w:val="nil"/>
              <w:right w:val="nil"/>
            </w:tcBorders>
            <w:shd w:val="clear" w:color="auto"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796" w:type="dxa"/>
            <w:gridSpan w:val="2"/>
            <w:tcBorders>
              <w:top w:val="nil"/>
              <w:left w:val="nil"/>
              <w:bottom w:val="single" w:color="000000" w:sz="8" w:space="0"/>
              <w:right w:val="nil"/>
            </w:tcBorders>
            <w:shd w:val="clear" w:color="auto"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40" w:type="dxa"/>
            <w:gridSpan w:val="2"/>
            <w:tcBorders>
              <w:top w:val="nil"/>
              <w:left w:val="nil"/>
              <w:bottom w:val="single" w:color="000000" w:sz="8" w:space="0"/>
              <w:right w:val="nil"/>
            </w:tcBorders>
            <w:shd w:val="clear" w:color="auto"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43" w:type="dxa"/>
            <w:gridSpan w:val="2"/>
            <w:tcBorders>
              <w:top w:val="nil"/>
              <w:left w:val="nil"/>
              <w:bottom w:val="single" w:color="000000" w:sz="8" w:space="0"/>
              <w:right w:val="nil"/>
            </w:tcBorders>
            <w:shd w:val="clear" w:color="auto"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455" w:type="dxa"/>
            <w:gridSpan w:val="4"/>
            <w:tcBorders>
              <w:top w:val="nil"/>
              <w:left w:val="nil"/>
              <w:bottom w:val="single" w:color="000000" w:sz="8" w:space="0"/>
              <w:right w:val="nil"/>
            </w:tcBorders>
            <w:shd w:val="clear" w:color="auto" w:fill="FFFFFF"/>
            <w:noWrap w:val="0"/>
            <w:vAlign w:val="center"/>
          </w:tcPr>
          <w:p>
            <w:pPr>
              <w:widowControl/>
              <w:jc w:val="right"/>
              <w:rPr>
                <w:rFonts w:ascii="宋体" w:hAnsi="宋体" w:cs="宋体"/>
                <w:color w:val="000000"/>
                <w:kern w:val="0"/>
                <w:sz w:val="20"/>
                <w:szCs w:val="20"/>
              </w:rPr>
            </w:pPr>
            <w:r>
              <w:rPr>
                <w:rFonts w:hint="eastAsia" w:ascii="宋体" w:hAnsi="宋体" w:cs="宋体"/>
                <w:kern w:val="0"/>
                <w:sz w:val="20"/>
                <w:szCs w:val="20"/>
              </w:rPr>
              <w:t>　    金额</w:t>
            </w:r>
            <w:r>
              <w:rPr>
                <w:rFonts w:hint="eastAsia" w:ascii="宋体" w:hAnsi="宋体" w:cs="宋体"/>
                <w:color w:val="000000"/>
                <w:kern w:val="0"/>
                <w:sz w:val="20"/>
                <w:szCs w:val="20"/>
              </w:rPr>
              <w:t>单位：万元</w:t>
            </w:r>
          </w:p>
        </w:tc>
      </w:tr>
      <w:tr>
        <w:tblPrEx>
          <w:tblLayout w:type="fixed"/>
          <w:tblCellMar>
            <w:top w:w="0" w:type="dxa"/>
            <w:left w:w="108" w:type="dxa"/>
            <w:bottom w:w="0" w:type="dxa"/>
            <w:right w:w="108" w:type="dxa"/>
          </w:tblCellMar>
        </w:tblPrEx>
        <w:trPr>
          <w:trHeight w:val="855" w:hRule="atLeast"/>
        </w:trPr>
        <w:tc>
          <w:tcPr>
            <w:tcW w:w="7233" w:type="dxa"/>
            <w:gridSpan w:val="6"/>
            <w:tcBorders>
              <w:top w:val="single" w:color="auto" w:sz="8" w:space="0"/>
              <w:left w:val="single" w:color="auto" w:sz="8" w:space="0"/>
              <w:bottom w:val="single" w:color="auto" w:sz="4" w:space="0"/>
              <w:right w:val="single" w:color="000000" w:sz="8" w:space="0"/>
            </w:tcBorders>
            <w:shd w:val="clear" w:color="auto" w:fill="FFFFFF"/>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预算数</w:t>
            </w:r>
          </w:p>
        </w:tc>
        <w:tc>
          <w:tcPr>
            <w:tcW w:w="6734" w:type="dxa"/>
            <w:gridSpan w:val="10"/>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决算数　</w:t>
            </w:r>
          </w:p>
        </w:tc>
      </w:tr>
      <w:tr>
        <w:tblPrEx>
          <w:tblLayout w:type="fixed"/>
          <w:tblCellMar>
            <w:top w:w="0" w:type="dxa"/>
            <w:left w:w="108" w:type="dxa"/>
            <w:bottom w:w="0" w:type="dxa"/>
            <w:right w:w="108" w:type="dxa"/>
          </w:tblCellMar>
        </w:tblPrEx>
        <w:trPr>
          <w:trHeight w:val="855" w:hRule="atLeast"/>
        </w:trPr>
        <w:tc>
          <w:tcPr>
            <w:tcW w:w="1238" w:type="dxa"/>
            <w:vMerge w:val="restart"/>
            <w:tcBorders>
              <w:top w:val="nil"/>
              <w:left w:val="single" w:color="auto" w:sz="8"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合计</w:t>
            </w:r>
          </w:p>
        </w:tc>
        <w:tc>
          <w:tcPr>
            <w:tcW w:w="126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因公出国（境）费</w:t>
            </w:r>
          </w:p>
        </w:tc>
        <w:tc>
          <w:tcPr>
            <w:tcW w:w="3726"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公务用车购置及运行费</w:t>
            </w:r>
          </w:p>
        </w:tc>
        <w:tc>
          <w:tcPr>
            <w:tcW w:w="1008" w:type="dxa"/>
            <w:vMerge w:val="restart"/>
            <w:tcBorders>
              <w:top w:val="nil"/>
              <w:left w:val="single" w:color="auto" w:sz="4" w:space="0"/>
              <w:bottom w:val="single" w:color="auto" w:sz="4" w:space="0"/>
              <w:right w:val="single" w:color="000000" w:sz="8"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公务接待费</w:t>
            </w:r>
          </w:p>
        </w:tc>
        <w:tc>
          <w:tcPr>
            <w:tcW w:w="1154" w:type="dxa"/>
            <w:vMerge w:val="restar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s="宋体"/>
                <w:kern w:val="0"/>
                <w:sz w:val="22"/>
                <w:szCs w:val="22"/>
              </w:rPr>
            </w:pPr>
            <w:r>
              <w:rPr>
                <w:rFonts w:hint="eastAsia" w:ascii="宋体" w:hAnsi="宋体" w:cs="宋体"/>
                <w:kern w:val="0"/>
                <w:sz w:val="22"/>
                <w:szCs w:val="22"/>
              </w:rPr>
              <w:t>合计</w:t>
            </w:r>
          </w:p>
        </w:tc>
        <w:tc>
          <w:tcPr>
            <w:tcW w:w="1259"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因公出国（境）费</w:t>
            </w:r>
          </w:p>
        </w:tc>
        <w:tc>
          <w:tcPr>
            <w:tcW w:w="3246" w:type="dxa"/>
            <w:gridSpan w:val="6"/>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公务用车购置及运行费</w:t>
            </w:r>
          </w:p>
        </w:tc>
        <w:tc>
          <w:tcPr>
            <w:tcW w:w="1075" w:type="dxa"/>
            <w:vMerge w:val="restart"/>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公务接待费</w:t>
            </w:r>
          </w:p>
        </w:tc>
      </w:tr>
      <w:tr>
        <w:tblPrEx>
          <w:tblLayout w:type="fixed"/>
          <w:tblCellMar>
            <w:top w:w="0" w:type="dxa"/>
            <w:left w:w="108" w:type="dxa"/>
            <w:bottom w:w="0" w:type="dxa"/>
            <w:right w:w="108" w:type="dxa"/>
          </w:tblCellMar>
        </w:tblPrEx>
        <w:trPr>
          <w:trHeight w:val="855" w:hRule="atLeast"/>
        </w:trPr>
        <w:tc>
          <w:tcPr>
            <w:tcW w:w="1238" w:type="dxa"/>
            <w:vMerge w:val="continue"/>
            <w:tcBorders>
              <w:top w:val="nil"/>
              <w:left w:val="single" w:color="auto" w:sz="8"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szCs w:val="22"/>
              </w:rPr>
            </w:pPr>
          </w:p>
        </w:tc>
        <w:tc>
          <w:tcPr>
            <w:tcW w:w="126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szCs w:val="22"/>
              </w:rPr>
            </w:pP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小计</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公务用车购置费</w:t>
            </w:r>
          </w:p>
        </w:tc>
        <w:tc>
          <w:tcPr>
            <w:tcW w:w="124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公务用车运行费</w:t>
            </w:r>
          </w:p>
        </w:tc>
        <w:tc>
          <w:tcPr>
            <w:tcW w:w="1008" w:type="dxa"/>
            <w:vMerge w:val="continue"/>
            <w:tcBorders>
              <w:top w:val="nil"/>
              <w:left w:val="single" w:color="auto" w:sz="4" w:space="0"/>
              <w:bottom w:val="single" w:color="auto" w:sz="4" w:space="0"/>
              <w:right w:val="single" w:color="000000" w:sz="8" w:space="0"/>
            </w:tcBorders>
            <w:shd w:val="clear" w:color="auto" w:fill="auto"/>
            <w:noWrap w:val="0"/>
            <w:vAlign w:val="center"/>
          </w:tcPr>
          <w:p>
            <w:pPr>
              <w:widowControl/>
              <w:jc w:val="left"/>
              <w:rPr>
                <w:rFonts w:ascii="宋体" w:hAnsi="宋体" w:cs="宋体"/>
                <w:kern w:val="0"/>
                <w:sz w:val="22"/>
                <w:szCs w:val="22"/>
              </w:rPr>
            </w:pPr>
          </w:p>
        </w:tc>
        <w:tc>
          <w:tcPr>
            <w:tcW w:w="1154"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left"/>
              <w:rPr>
                <w:rFonts w:ascii="宋体" w:hAnsi="宋体" w:cs="宋体"/>
                <w:kern w:val="0"/>
                <w:sz w:val="22"/>
                <w:szCs w:val="22"/>
              </w:rPr>
            </w:pPr>
          </w:p>
        </w:tc>
        <w:tc>
          <w:tcPr>
            <w:tcW w:w="1259"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left"/>
              <w:rPr>
                <w:rFonts w:ascii="宋体" w:hAnsi="宋体" w:cs="宋体"/>
                <w:kern w:val="0"/>
                <w:sz w:val="22"/>
                <w:szCs w:val="22"/>
              </w:rPr>
            </w:pPr>
          </w:p>
        </w:tc>
        <w:tc>
          <w:tcPr>
            <w:tcW w:w="902" w:type="dxa"/>
            <w:gridSpan w:val="2"/>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小计</w:t>
            </w:r>
          </w:p>
        </w:tc>
        <w:tc>
          <w:tcPr>
            <w:tcW w:w="1081" w:type="dxa"/>
            <w:gridSpan w:val="2"/>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公务用车购置费</w:t>
            </w:r>
          </w:p>
        </w:tc>
        <w:tc>
          <w:tcPr>
            <w:tcW w:w="1263" w:type="dxa"/>
            <w:gridSpan w:val="2"/>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公务用车运行费</w:t>
            </w:r>
          </w:p>
        </w:tc>
        <w:tc>
          <w:tcPr>
            <w:tcW w:w="1075" w:type="dxa"/>
            <w:vMerge w:val="continue"/>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widowControl/>
              <w:jc w:val="left"/>
              <w:rPr>
                <w:rFonts w:ascii="宋体" w:hAnsi="宋体" w:cs="宋体"/>
                <w:kern w:val="0"/>
                <w:sz w:val="22"/>
                <w:szCs w:val="22"/>
              </w:rPr>
            </w:pPr>
          </w:p>
        </w:tc>
      </w:tr>
      <w:tr>
        <w:tblPrEx>
          <w:tblLayout w:type="fixed"/>
          <w:tblCellMar>
            <w:top w:w="0" w:type="dxa"/>
            <w:left w:w="108" w:type="dxa"/>
            <w:bottom w:w="0" w:type="dxa"/>
            <w:right w:w="108" w:type="dxa"/>
          </w:tblCellMar>
        </w:tblPrEx>
        <w:trPr>
          <w:trHeight w:val="618" w:hRule="atLeast"/>
        </w:trPr>
        <w:tc>
          <w:tcPr>
            <w:tcW w:w="1238" w:type="dxa"/>
            <w:tcBorders>
              <w:top w:val="nil"/>
              <w:left w:val="single" w:color="auto" w:sz="8" w:space="0"/>
              <w:bottom w:val="single" w:color="auto" w:sz="8" w:space="0"/>
              <w:right w:val="single" w:color="auto" w:sz="4" w:space="0"/>
            </w:tcBorders>
            <w:shd w:val="clear" w:color="auto" w:fill="auto"/>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1</w:t>
            </w:r>
          </w:p>
        </w:tc>
        <w:tc>
          <w:tcPr>
            <w:tcW w:w="1261" w:type="dxa"/>
            <w:tcBorders>
              <w:top w:val="nil"/>
              <w:left w:val="nil"/>
              <w:bottom w:val="single" w:color="auto" w:sz="8" w:space="0"/>
              <w:right w:val="single" w:color="auto" w:sz="4" w:space="0"/>
            </w:tcBorders>
            <w:shd w:val="clear" w:color="auto" w:fill="auto"/>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2</w:t>
            </w:r>
          </w:p>
        </w:tc>
        <w:tc>
          <w:tcPr>
            <w:tcW w:w="1240" w:type="dxa"/>
            <w:tcBorders>
              <w:top w:val="nil"/>
              <w:left w:val="nil"/>
              <w:bottom w:val="single" w:color="auto" w:sz="8" w:space="0"/>
              <w:right w:val="single" w:color="auto" w:sz="4" w:space="0"/>
            </w:tcBorders>
            <w:shd w:val="clear" w:color="auto" w:fill="auto"/>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3</w:t>
            </w:r>
          </w:p>
        </w:tc>
        <w:tc>
          <w:tcPr>
            <w:tcW w:w="1240" w:type="dxa"/>
            <w:tcBorders>
              <w:top w:val="nil"/>
              <w:left w:val="nil"/>
              <w:bottom w:val="single" w:color="auto" w:sz="8" w:space="0"/>
              <w:right w:val="single" w:color="auto" w:sz="4" w:space="0"/>
            </w:tcBorders>
            <w:shd w:val="clear" w:color="auto" w:fill="auto"/>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4</w:t>
            </w:r>
          </w:p>
        </w:tc>
        <w:tc>
          <w:tcPr>
            <w:tcW w:w="1246" w:type="dxa"/>
            <w:tcBorders>
              <w:top w:val="nil"/>
              <w:left w:val="nil"/>
              <w:bottom w:val="single" w:color="auto" w:sz="8" w:space="0"/>
              <w:right w:val="single" w:color="auto" w:sz="4" w:space="0"/>
            </w:tcBorders>
            <w:shd w:val="clear" w:color="auto" w:fill="auto"/>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5</w:t>
            </w:r>
          </w:p>
        </w:tc>
        <w:tc>
          <w:tcPr>
            <w:tcW w:w="1008" w:type="dxa"/>
            <w:tcBorders>
              <w:top w:val="nil"/>
              <w:left w:val="nil"/>
              <w:bottom w:val="single" w:color="auto" w:sz="8" w:space="0"/>
              <w:right w:val="single" w:color="000000" w:sz="8" w:space="0"/>
            </w:tcBorders>
            <w:shd w:val="clear" w:color="auto" w:fill="auto"/>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6</w:t>
            </w:r>
          </w:p>
        </w:tc>
        <w:tc>
          <w:tcPr>
            <w:tcW w:w="115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7</w:t>
            </w:r>
          </w:p>
        </w:tc>
        <w:tc>
          <w:tcPr>
            <w:tcW w:w="1259"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8</w:t>
            </w:r>
          </w:p>
        </w:tc>
        <w:tc>
          <w:tcPr>
            <w:tcW w:w="902" w:type="dxa"/>
            <w:gridSpan w:val="2"/>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9</w:t>
            </w:r>
          </w:p>
        </w:tc>
        <w:tc>
          <w:tcPr>
            <w:tcW w:w="1081" w:type="dxa"/>
            <w:gridSpan w:val="2"/>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10</w:t>
            </w:r>
          </w:p>
        </w:tc>
        <w:tc>
          <w:tcPr>
            <w:tcW w:w="1263" w:type="dxa"/>
            <w:gridSpan w:val="2"/>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11</w:t>
            </w:r>
          </w:p>
        </w:tc>
        <w:tc>
          <w:tcPr>
            <w:tcW w:w="1075"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12</w:t>
            </w:r>
          </w:p>
        </w:tc>
      </w:tr>
      <w:tr>
        <w:tblPrEx>
          <w:tblLayout w:type="fixed"/>
          <w:tblCellMar>
            <w:top w:w="0" w:type="dxa"/>
            <w:left w:w="108" w:type="dxa"/>
            <w:bottom w:w="0" w:type="dxa"/>
            <w:right w:w="108" w:type="dxa"/>
          </w:tblCellMar>
        </w:tblPrEx>
        <w:trPr>
          <w:trHeight w:val="855" w:hRule="atLeast"/>
        </w:trPr>
        <w:tc>
          <w:tcPr>
            <w:tcW w:w="1238" w:type="dxa"/>
            <w:tcBorders>
              <w:top w:val="nil"/>
              <w:left w:val="single" w:color="auto" w:sz="8" w:space="0"/>
              <w:bottom w:val="single" w:color="auto" w:sz="8" w:space="0"/>
              <w:right w:val="single" w:color="auto" w:sz="4" w:space="0"/>
            </w:tcBorders>
            <w:shd w:val="clear" w:color="auto" w:fill="auto"/>
            <w:noWrap w:val="0"/>
            <w:vAlign w:val="center"/>
          </w:tcPr>
          <w:p>
            <w:pPr>
              <w:widowControl/>
              <w:jc w:val="left"/>
              <w:rPr>
                <w:rFonts w:hint="eastAsia" w:ascii="宋体" w:hAnsi="宋体" w:eastAsia="仿宋" w:cs="宋体"/>
                <w:kern w:val="0"/>
                <w:sz w:val="22"/>
                <w:szCs w:val="22"/>
                <w:lang w:val="en-US" w:eastAsia="zh-CN"/>
              </w:rPr>
            </w:pPr>
            <w:r>
              <w:rPr>
                <w:rFonts w:hint="eastAsia" w:ascii="宋体" w:hAnsi="宋体" w:cs="宋体"/>
                <w:kern w:val="0"/>
                <w:sz w:val="22"/>
                <w:szCs w:val="22"/>
              </w:rPr>
              <w:t>　</w:t>
            </w:r>
            <w:r>
              <w:rPr>
                <w:rFonts w:hint="eastAsia" w:ascii="宋体" w:hAnsi="宋体" w:cs="宋体"/>
                <w:kern w:val="0"/>
                <w:sz w:val="22"/>
                <w:szCs w:val="22"/>
                <w:lang w:val="en-US" w:eastAsia="zh-CN"/>
              </w:rPr>
              <w:t>0.00</w:t>
            </w:r>
          </w:p>
        </w:tc>
        <w:tc>
          <w:tcPr>
            <w:tcW w:w="1261" w:type="dxa"/>
            <w:tcBorders>
              <w:top w:val="nil"/>
              <w:left w:val="nil"/>
              <w:bottom w:val="single" w:color="auto" w:sz="8" w:space="0"/>
              <w:right w:val="single" w:color="auto" w:sz="4" w:space="0"/>
            </w:tcBorders>
            <w:shd w:val="clear" w:color="auto" w:fill="auto"/>
            <w:noWrap w:val="0"/>
            <w:vAlign w:val="center"/>
          </w:tcPr>
          <w:p>
            <w:pPr>
              <w:widowControl/>
              <w:jc w:val="left"/>
              <w:rPr>
                <w:rFonts w:hint="eastAsia" w:ascii="宋体" w:hAnsi="宋体" w:eastAsia="仿宋" w:cs="宋体"/>
                <w:kern w:val="0"/>
                <w:sz w:val="22"/>
                <w:szCs w:val="22"/>
                <w:lang w:val="en-US" w:eastAsia="zh-CN"/>
              </w:rPr>
            </w:pPr>
            <w:r>
              <w:rPr>
                <w:rFonts w:hint="eastAsia" w:ascii="宋体" w:hAnsi="宋体" w:cs="宋体"/>
                <w:kern w:val="0"/>
                <w:sz w:val="22"/>
                <w:szCs w:val="22"/>
              </w:rPr>
              <w:t>　</w:t>
            </w:r>
            <w:r>
              <w:rPr>
                <w:rFonts w:hint="eastAsia" w:ascii="宋体" w:hAnsi="宋体" w:cs="宋体"/>
                <w:kern w:val="0"/>
                <w:sz w:val="22"/>
                <w:szCs w:val="22"/>
                <w:lang w:val="en-US" w:eastAsia="zh-CN"/>
              </w:rPr>
              <w:t>0.00</w:t>
            </w:r>
          </w:p>
        </w:tc>
        <w:tc>
          <w:tcPr>
            <w:tcW w:w="1240" w:type="dxa"/>
            <w:tcBorders>
              <w:top w:val="nil"/>
              <w:left w:val="nil"/>
              <w:bottom w:val="single" w:color="auto" w:sz="8" w:space="0"/>
              <w:right w:val="single" w:color="auto" w:sz="4" w:space="0"/>
            </w:tcBorders>
            <w:shd w:val="clear" w:color="auto" w:fill="auto"/>
            <w:noWrap w:val="0"/>
            <w:vAlign w:val="center"/>
          </w:tcPr>
          <w:p>
            <w:pPr>
              <w:widowControl/>
              <w:jc w:val="left"/>
              <w:rPr>
                <w:rFonts w:hint="eastAsia" w:ascii="宋体" w:hAnsi="宋体" w:eastAsia="仿宋" w:cs="宋体"/>
                <w:kern w:val="0"/>
                <w:sz w:val="22"/>
                <w:szCs w:val="22"/>
                <w:lang w:val="en-US" w:eastAsia="zh-CN"/>
              </w:rPr>
            </w:pPr>
            <w:r>
              <w:rPr>
                <w:rFonts w:hint="eastAsia" w:ascii="宋体" w:hAnsi="宋体" w:cs="宋体"/>
                <w:kern w:val="0"/>
                <w:sz w:val="22"/>
                <w:szCs w:val="22"/>
              </w:rPr>
              <w:t>　</w:t>
            </w:r>
            <w:r>
              <w:rPr>
                <w:rFonts w:hint="eastAsia" w:ascii="宋体" w:hAnsi="宋体" w:cs="宋体"/>
                <w:kern w:val="0"/>
                <w:sz w:val="22"/>
                <w:szCs w:val="22"/>
                <w:lang w:val="en-US" w:eastAsia="zh-CN"/>
              </w:rPr>
              <w:t>0.00</w:t>
            </w:r>
          </w:p>
        </w:tc>
        <w:tc>
          <w:tcPr>
            <w:tcW w:w="1240" w:type="dxa"/>
            <w:tcBorders>
              <w:top w:val="nil"/>
              <w:left w:val="nil"/>
              <w:bottom w:val="single" w:color="auto" w:sz="8" w:space="0"/>
              <w:right w:val="single" w:color="auto" w:sz="4" w:space="0"/>
            </w:tcBorders>
            <w:shd w:val="clear" w:color="auto" w:fill="auto"/>
            <w:noWrap w:val="0"/>
            <w:vAlign w:val="center"/>
          </w:tcPr>
          <w:p>
            <w:pPr>
              <w:widowControl/>
              <w:jc w:val="left"/>
              <w:rPr>
                <w:rFonts w:hint="eastAsia" w:ascii="宋体" w:hAnsi="宋体" w:eastAsia="仿宋" w:cs="宋体"/>
                <w:kern w:val="0"/>
                <w:sz w:val="22"/>
                <w:szCs w:val="22"/>
                <w:lang w:val="en-US" w:eastAsia="zh-CN"/>
              </w:rPr>
            </w:pPr>
            <w:r>
              <w:rPr>
                <w:rFonts w:hint="eastAsia" w:ascii="宋体" w:hAnsi="宋体" w:cs="宋体"/>
                <w:kern w:val="0"/>
                <w:sz w:val="22"/>
                <w:szCs w:val="22"/>
              </w:rPr>
              <w:t>　</w:t>
            </w:r>
            <w:r>
              <w:rPr>
                <w:rFonts w:hint="eastAsia" w:ascii="宋体" w:hAnsi="宋体" w:cs="宋体"/>
                <w:kern w:val="0"/>
                <w:sz w:val="22"/>
                <w:szCs w:val="22"/>
                <w:lang w:val="en-US" w:eastAsia="zh-CN"/>
              </w:rPr>
              <w:t>0.00</w:t>
            </w:r>
          </w:p>
        </w:tc>
        <w:tc>
          <w:tcPr>
            <w:tcW w:w="1246" w:type="dxa"/>
            <w:tcBorders>
              <w:top w:val="nil"/>
              <w:left w:val="nil"/>
              <w:bottom w:val="single" w:color="auto" w:sz="8" w:space="0"/>
              <w:right w:val="single" w:color="auto" w:sz="4" w:space="0"/>
            </w:tcBorders>
            <w:shd w:val="clear" w:color="auto" w:fill="auto"/>
            <w:noWrap w:val="0"/>
            <w:vAlign w:val="center"/>
          </w:tcPr>
          <w:p>
            <w:pPr>
              <w:widowControl/>
              <w:jc w:val="left"/>
              <w:rPr>
                <w:rFonts w:hint="eastAsia" w:ascii="宋体" w:hAnsi="宋体" w:eastAsia="仿宋" w:cs="宋体"/>
                <w:kern w:val="0"/>
                <w:sz w:val="22"/>
                <w:szCs w:val="22"/>
                <w:lang w:val="en-US" w:eastAsia="zh-CN"/>
              </w:rPr>
            </w:pPr>
            <w:r>
              <w:rPr>
                <w:rFonts w:hint="eastAsia" w:ascii="宋体" w:hAnsi="宋体" w:cs="宋体"/>
                <w:kern w:val="0"/>
                <w:sz w:val="22"/>
                <w:szCs w:val="22"/>
              </w:rPr>
              <w:t>　</w:t>
            </w:r>
            <w:r>
              <w:rPr>
                <w:rFonts w:hint="eastAsia" w:ascii="宋体" w:hAnsi="宋体" w:cs="宋体"/>
                <w:kern w:val="0"/>
                <w:sz w:val="22"/>
                <w:szCs w:val="22"/>
                <w:lang w:val="en-US" w:eastAsia="zh-CN"/>
              </w:rPr>
              <w:t>0.00</w:t>
            </w:r>
          </w:p>
        </w:tc>
        <w:tc>
          <w:tcPr>
            <w:tcW w:w="1008" w:type="dxa"/>
            <w:tcBorders>
              <w:top w:val="nil"/>
              <w:left w:val="nil"/>
              <w:bottom w:val="single" w:color="auto" w:sz="8" w:space="0"/>
              <w:right w:val="single" w:color="000000" w:sz="8" w:space="0"/>
            </w:tcBorders>
            <w:shd w:val="clear" w:color="auto" w:fill="auto"/>
            <w:noWrap w:val="0"/>
            <w:vAlign w:val="center"/>
          </w:tcPr>
          <w:p>
            <w:pPr>
              <w:widowControl/>
              <w:jc w:val="left"/>
              <w:rPr>
                <w:rFonts w:hint="eastAsia" w:ascii="宋体" w:hAnsi="宋体" w:eastAsia="仿宋" w:cs="宋体"/>
                <w:kern w:val="0"/>
                <w:sz w:val="22"/>
                <w:szCs w:val="22"/>
                <w:lang w:val="en-US" w:eastAsia="zh-CN"/>
              </w:rPr>
            </w:pPr>
            <w:r>
              <w:rPr>
                <w:rFonts w:hint="eastAsia" w:ascii="宋体" w:hAnsi="宋体" w:cs="宋体"/>
                <w:kern w:val="0"/>
                <w:sz w:val="22"/>
                <w:szCs w:val="22"/>
              </w:rPr>
              <w:t>　</w:t>
            </w:r>
            <w:r>
              <w:rPr>
                <w:rFonts w:hint="eastAsia" w:ascii="宋体" w:hAnsi="宋体" w:cs="宋体"/>
                <w:kern w:val="0"/>
                <w:sz w:val="22"/>
                <w:szCs w:val="22"/>
                <w:lang w:val="en-US" w:eastAsia="zh-CN"/>
              </w:rPr>
              <w:t>0.00</w:t>
            </w:r>
          </w:p>
        </w:tc>
        <w:tc>
          <w:tcPr>
            <w:tcW w:w="115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left"/>
              <w:rPr>
                <w:rFonts w:hint="eastAsia" w:ascii="宋体" w:hAnsi="宋体" w:eastAsia="仿宋" w:cs="宋体"/>
                <w:kern w:val="0"/>
                <w:sz w:val="22"/>
                <w:szCs w:val="22"/>
                <w:lang w:val="en-US" w:eastAsia="zh-CN"/>
              </w:rPr>
            </w:pPr>
            <w:r>
              <w:rPr>
                <w:rFonts w:hint="eastAsia" w:ascii="宋体" w:hAnsi="宋体" w:cs="宋体"/>
                <w:kern w:val="0"/>
                <w:sz w:val="22"/>
                <w:szCs w:val="22"/>
                <w:lang w:val="en-US" w:eastAsia="zh-CN"/>
              </w:rPr>
              <w:t>0.00</w:t>
            </w:r>
          </w:p>
        </w:tc>
        <w:tc>
          <w:tcPr>
            <w:tcW w:w="1259"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left"/>
              <w:rPr>
                <w:rFonts w:hint="eastAsia" w:ascii="宋体" w:hAnsi="宋体" w:eastAsia="仿宋" w:cs="宋体"/>
                <w:kern w:val="0"/>
                <w:sz w:val="22"/>
                <w:szCs w:val="22"/>
                <w:lang w:val="en-US" w:eastAsia="zh-CN"/>
              </w:rPr>
            </w:pPr>
            <w:r>
              <w:rPr>
                <w:rFonts w:hint="eastAsia" w:ascii="宋体" w:hAnsi="宋体" w:cs="宋体"/>
                <w:kern w:val="0"/>
                <w:sz w:val="22"/>
                <w:szCs w:val="22"/>
                <w:lang w:val="en-US" w:eastAsia="zh-CN"/>
              </w:rPr>
              <w:t>0.00</w:t>
            </w:r>
          </w:p>
        </w:tc>
        <w:tc>
          <w:tcPr>
            <w:tcW w:w="902" w:type="dxa"/>
            <w:gridSpan w:val="2"/>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widowControl/>
              <w:jc w:val="left"/>
              <w:rPr>
                <w:rFonts w:hint="eastAsia" w:ascii="宋体" w:hAnsi="宋体" w:eastAsia="仿宋" w:cs="宋体"/>
                <w:kern w:val="0"/>
                <w:sz w:val="22"/>
                <w:szCs w:val="22"/>
                <w:lang w:val="en-US" w:eastAsia="zh-CN"/>
              </w:rPr>
            </w:pPr>
            <w:r>
              <w:rPr>
                <w:rFonts w:hint="eastAsia" w:ascii="宋体" w:hAnsi="宋体" w:cs="宋体"/>
                <w:kern w:val="0"/>
                <w:sz w:val="22"/>
                <w:szCs w:val="22"/>
                <w:lang w:val="en-US" w:eastAsia="zh-CN"/>
              </w:rPr>
              <w:t>0.00</w:t>
            </w:r>
          </w:p>
        </w:tc>
        <w:tc>
          <w:tcPr>
            <w:tcW w:w="1081" w:type="dxa"/>
            <w:gridSpan w:val="2"/>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widowControl/>
              <w:jc w:val="left"/>
              <w:rPr>
                <w:rFonts w:hint="eastAsia" w:ascii="宋体" w:hAnsi="宋体" w:eastAsia="仿宋" w:cs="宋体"/>
                <w:kern w:val="0"/>
                <w:sz w:val="22"/>
                <w:szCs w:val="22"/>
                <w:lang w:val="en-US" w:eastAsia="zh-CN"/>
              </w:rPr>
            </w:pPr>
            <w:r>
              <w:rPr>
                <w:rFonts w:hint="eastAsia" w:ascii="宋体" w:hAnsi="宋体" w:cs="宋体"/>
                <w:kern w:val="0"/>
                <w:sz w:val="22"/>
                <w:szCs w:val="22"/>
              </w:rPr>
              <w:t>　</w:t>
            </w:r>
            <w:r>
              <w:rPr>
                <w:rFonts w:hint="eastAsia" w:ascii="宋体" w:hAnsi="宋体" w:cs="宋体"/>
                <w:kern w:val="0"/>
                <w:sz w:val="22"/>
                <w:szCs w:val="22"/>
                <w:lang w:val="en-US" w:eastAsia="zh-CN"/>
              </w:rPr>
              <w:t>0.00</w:t>
            </w:r>
          </w:p>
        </w:tc>
        <w:tc>
          <w:tcPr>
            <w:tcW w:w="1263" w:type="dxa"/>
            <w:gridSpan w:val="2"/>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widowControl/>
              <w:jc w:val="left"/>
              <w:rPr>
                <w:rFonts w:hint="eastAsia" w:ascii="宋体" w:hAnsi="宋体" w:eastAsia="仿宋" w:cs="宋体"/>
                <w:kern w:val="0"/>
                <w:sz w:val="22"/>
                <w:szCs w:val="22"/>
                <w:lang w:val="en-US" w:eastAsia="zh-CN"/>
              </w:rPr>
            </w:pPr>
            <w:r>
              <w:rPr>
                <w:rFonts w:hint="eastAsia" w:ascii="宋体" w:hAnsi="宋体" w:cs="宋体"/>
                <w:kern w:val="0"/>
                <w:sz w:val="22"/>
                <w:szCs w:val="22"/>
              </w:rPr>
              <w:t>　</w:t>
            </w:r>
            <w:r>
              <w:rPr>
                <w:rFonts w:hint="eastAsia" w:ascii="宋体" w:hAnsi="宋体" w:cs="宋体"/>
                <w:kern w:val="0"/>
                <w:sz w:val="22"/>
                <w:szCs w:val="22"/>
                <w:lang w:val="en-US" w:eastAsia="zh-CN"/>
              </w:rPr>
              <w:t>0.00</w:t>
            </w:r>
          </w:p>
        </w:tc>
        <w:tc>
          <w:tcPr>
            <w:tcW w:w="1075"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widowControl/>
              <w:jc w:val="left"/>
              <w:rPr>
                <w:rFonts w:hint="eastAsia" w:ascii="宋体" w:hAnsi="宋体" w:eastAsia="仿宋" w:cs="宋体"/>
                <w:kern w:val="0"/>
                <w:sz w:val="22"/>
                <w:szCs w:val="22"/>
                <w:lang w:val="en-US" w:eastAsia="zh-CN"/>
              </w:rPr>
            </w:pPr>
            <w:r>
              <w:rPr>
                <w:rFonts w:hint="eastAsia" w:ascii="宋体" w:hAnsi="宋体" w:cs="宋体"/>
                <w:kern w:val="0"/>
                <w:sz w:val="22"/>
                <w:szCs w:val="22"/>
                <w:lang w:val="en-US" w:eastAsia="zh-CN"/>
              </w:rPr>
              <w:t>0.00</w:t>
            </w:r>
          </w:p>
        </w:tc>
      </w:tr>
      <w:tr>
        <w:tblPrEx>
          <w:tblLayout w:type="fixed"/>
          <w:tblCellMar>
            <w:top w:w="0" w:type="dxa"/>
            <w:left w:w="108" w:type="dxa"/>
            <w:bottom w:w="0" w:type="dxa"/>
            <w:right w:w="108" w:type="dxa"/>
          </w:tblCellMar>
        </w:tblPrEx>
        <w:trPr>
          <w:trHeight w:val="915" w:hRule="atLeast"/>
        </w:trPr>
        <w:tc>
          <w:tcPr>
            <w:tcW w:w="13967" w:type="dxa"/>
            <w:gridSpan w:val="16"/>
            <w:tcBorders>
              <w:top w:val="single" w:color="auto" w:sz="8" w:space="0"/>
              <w:left w:val="nil"/>
              <w:bottom w:val="nil"/>
              <w:right w:val="nil"/>
            </w:tcBorders>
            <w:shd w:val="clear" w:color="auto" w:fill="auto"/>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 xml:space="preserve"> 注：本表反映部门本年度“三公”经费支出预决算情况。其中：预算数为“三公”经费年初预算数，决算数包括当年一般公共预算财政拨款和以前年度结转资金安排的实际支出。</w:t>
            </w:r>
          </w:p>
          <w:p>
            <w:pPr>
              <w:widowControl/>
              <w:jc w:val="left"/>
              <w:rPr>
                <w:rFonts w:hint="eastAsia" w:ascii="宋体" w:hAnsi="宋体" w:eastAsia="仿宋" w:cs="宋体"/>
                <w:kern w:val="0"/>
                <w:sz w:val="22"/>
                <w:szCs w:val="22"/>
                <w:lang w:val="en-US" w:eastAsia="zh-CN"/>
              </w:rPr>
            </w:pPr>
            <w:r>
              <w:rPr>
                <w:rFonts w:hint="eastAsia" w:ascii="仿宋" w:hAnsi="仿宋" w:eastAsia="仿宋" w:cs="仿宋"/>
                <w:i w:val="0"/>
                <w:color w:val="000000"/>
                <w:kern w:val="0"/>
                <w:sz w:val="24"/>
                <w:szCs w:val="24"/>
                <w:u w:val="none"/>
                <w:lang w:val="en-US" w:eastAsia="zh-CN" w:bidi="ar"/>
              </w:rPr>
              <w:t>菏泽市第二人民医院</w:t>
            </w:r>
            <w:r>
              <w:rPr>
                <w:rFonts w:hint="eastAsia" w:cs="仿宋"/>
                <w:i w:val="0"/>
                <w:color w:val="000000"/>
                <w:kern w:val="0"/>
                <w:sz w:val="24"/>
                <w:szCs w:val="24"/>
                <w:u w:val="none"/>
                <w:lang w:val="en-US" w:eastAsia="zh-CN" w:bidi="ar"/>
              </w:rPr>
              <w:t>2018年度预决算</w:t>
            </w:r>
            <w:bookmarkStart w:id="0" w:name="_GoBack"/>
            <w:bookmarkEnd w:id="0"/>
            <w:r>
              <w:rPr>
                <w:rFonts w:hint="eastAsia" w:cs="仿宋"/>
                <w:i w:val="0"/>
                <w:color w:val="000000"/>
                <w:kern w:val="0"/>
                <w:sz w:val="24"/>
                <w:szCs w:val="24"/>
                <w:u w:val="none"/>
                <w:lang w:val="en-US" w:eastAsia="zh-CN" w:bidi="ar"/>
              </w:rPr>
              <w:t>财政拨款无“三公”经费支出,故本表无数据。</w:t>
            </w:r>
          </w:p>
        </w:tc>
      </w:tr>
    </w:tbl>
    <w:p>
      <w:pPr>
        <w:spacing w:after="42" w:line="307" w:lineRule="auto"/>
        <w:ind w:left="0" w:right="8941" w:firstLine="0"/>
        <w:rPr>
          <w:rFonts w:ascii="黑体" w:hAnsi="黑体" w:eastAsia="黑体" w:cs="黑体"/>
          <w:sz w:val="36"/>
        </w:rPr>
        <w:sectPr>
          <w:footerReference r:id="rId11" w:type="first"/>
          <w:footerReference r:id="rId9" w:type="default"/>
          <w:footerReference r:id="rId10" w:type="even"/>
          <w:pgSz w:w="16840" w:h="11904" w:orient="landscape"/>
          <w:pgMar w:top="1474" w:right="1735" w:bottom="1310" w:left="1897" w:header="720" w:footer="1400" w:gutter="0"/>
          <w:cols w:space="0" w:num="1"/>
          <w:rtlGutter w:val="0"/>
          <w:docGrid w:linePitch="0" w:charSpace="0"/>
        </w:sectPr>
      </w:pPr>
    </w:p>
    <w:p>
      <w:pPr>
        <w:pStyle w:val="2"/>
        <w:ind w:left="0" w:leftChars="0" w:firstLine="0" w:firstLineChars="0"/>
      </w:pPr>
      <w:r>
        <w:t xml:space="preserve">第三部分 </w:t>
      </w:r>
    </w:p>
    <w:p>
      <w:pPr>
        <w:spacing w:after="0" w:line="239" w:lineRule="auto"/>
        <w:ind w:left="354" w:firstLine="0"/>
        <w:jc w:val="center"/>
        <w:rPr>
          <w:rFonts w:ascii="黑体" w:hAnsi="黑体" w:eastAsia="黑体" w:cs="黑体"/>
          <w:sz w:val="52"/>
        </w:rPr>
      </w:pPr>
    </w:p>
    <w:p>
      <w:pPr>
        <w:spacing w:after="0" w:line="239" w:lineRule="auto"/>
        <w:ind w:left="354" w:firstLine="0"/>
        <w:jc w:val="center"/>
        <w:rPr>
          <w:rFonts w:ascii="黑体" w:hAnsi="黑体" w:eastAsia="黑体" w:cs="黑体"/>
          <w:sz w:val="52"/>
        </w:rPr>
      </w:pPr>
      <w:r>
        <w:rPr>
          <w:rFonts w:ascii="黑体" w:hAnsi="黑体" w:eastAsia="黑体" w:cs="黑体"/>
          <w:sz w:val="52"/>
        </w:rPr>
        <w:t>201</w:t>
      </w:r>
      <w:r>
        <w:rPr>
          <w:rFonts w:hint="eastAsia" w:ascii="黑体" w:hAnsi="黑体" w:eastAsia="黑体" w:cs="黑体"/>
          <w:sz w:val="52"/>
          <w:lang w:val="en-US" w:eastAsia="zh-CN"/>
        </w:rPr>
        <w:t>8</w:t>
      </w:r>
      <w:r>
        <w:rPr>
          <w:rFonts w:ascii="黑体" w:hAnsi="黑体" w:eastAsia="黑体" w:cs="黑体"/>
          <w:sz w:val="52"/>
        </w:rPr>
        <w:t>年度部门决算情况</w:t>
      </w:r>
    </w:p>
    <w:p>
      <w:pPr>
        <w:spacing w:after="0" w:line="239" w:lineRule="auto"/>
        <w:ind w:left="354" w:firstLine="0"/>
        <w:jc w:val="center"/>
        <w:rPr>
          <w:rFonts w:hint="eastAsia" w:ascii="仿宋_GB2312" w:hAnsi="宋体" w:eastAsia="黑体" w:cs="仿宋_GB2312"/>
          <w:b/>
          <w:bCs/>
          <w:kern w:val="0"/>
          <w:sz w:val="36"/>
          <w:szCs w:val="36"/>
          <w:lang w:val="en-US" w:eastAsia="zh-CN" w:bidi="ar"/>
        </w:rPr>
        <w:sectPr>
          <w:pgSz w:w="11904" w:h="16840"/>
          <w:pgMar w:top="1735" w:right="1310" w:bottom="1899" w:left="1474" w:header="720" w:footer="1400" w:gutter="0"/>
          <w:cols w:space="0" w:num="1"/>
          <w:rtlGutter w:val="0"/>
          <w:docGrid w:linePitch="0" w:charSpace="0"/>
        </w:sectPr>
      </w:pPr>
      <w:r>
        <w:rPr>
          <w:rFonts w:ascii="黑体" w:hAnsi="黑体" w:eastAsia="黑体" w:cs="黑体"/>
          <w:sz w:val="52"/>
        </w:rPr>
        <w:t>和</w:t>
      </w:r>
      <w:r>
        <w:rPr>
          <w:rFonts w:hint="eastAsia" w:ascii="黑体" w:hAnsi="黑体" w:eastAsia="黑体" w:cs="黑体"/>
          <w:sz w:val="52"/>
          <w:lang w:eastAsia="zh-CN"/>
        </w:rPr>
        <w:t>重要</w:t>
      </w:r>
      <w:r>
        <w:rPr>
          <w:rFonts w:ascii="黑体" w:hAnsi="黑体" w:eastAsia="黑体" w:cs="黑体"/>
          <w:sz w:val="52"/>
        </w:rPr>
        <w:t>事</w:t>
      </w:r>
      <w:r>
        <w:rPr>
          <w:rFonts w:hint="eastAsia" w:ascii="黑体" w:hAnsi="黑体" w:eastAsia="黑体" w:cs="黑体"/>
          <w:sz w:val="52"/>
          <w:lang w:eastAsia="zh-CN"/>
        </w:rPr>
        <w:t>项说明</w:t>
      </w:r>
    </w:p>
    <w:p>
      <w:pPr>
        <w:spacing w:line="580" w:lineRule="exact"/>
        <w:ind w:left="0" w:leftChars="0" w:firstLine="0" w:firstLineChars="0"/>
        <w:rPr>
          <w:rFonts w:hint="eastAsia" w:ascii="黑体" w:hAnsi="黑体" w:eastAsia="黑体"/>
          <w:sz w:val="32"/>
          <w:szCs w:val="32"/>
        </w:rPr>
      </w:pPr>
      <w:r>
        <w:rPr>
          <w:rFonts w:hint="eastAsia" w:ascii="黑体" w:hAnsi="黑体" w:eastAsia="黑体"/>
          <w:sz w:val="32"/>
          <w:szCs w:val="32"/>
        </w:rPr>
        <w:t>一、2018年度部门决算情况说明</w:t>
      </w:r>
    </w:p>
    <w:p>
      <w:pPr>
        <w:spacing w:line="580" w:lineRule="exact"/>
        <w:ind w:firstLine="640" w:firstLineChars="200"/>
        <w:rPr>
          <w:rFonts w:hint="eastAsia" w:ascii="楷体_GB2312" w:eastAsia="楷体_GB2312"/>
          <w:sz w:val="32"/>
          <w:szCs w:val="32"/>
        </w:rPr>
      </w:pPr>
      <w:r>
        <w:rPr>
          <w:rFonts w:hint="eastAsia" w:ascii="楷体_GB2312" w:eastAsia="楷体_GB2312"/>
          <w:sz w:val="32"/>
          <w:szCs w:val="32"/>
        </w:rPr>
        <w:t>（一）收入支出决算总体情况</w:t>
      </w:r>
    </w:p>
    <w:p>
      <w:pPr>
        <w:spacing w:line="58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2018年度收、支总计</w:t>
      </w:r>
      <w:r>
        <w:rPr>
          <w:rFonts w:hint="eastAsia" w:ascii="仿宋_GB2312" w:eastAsia="仿宋_GB2312"/>
          <w:sz w:val="32"/>
          <w:szCs w:val="32"/>
          <w:lang w:val="en-US" w:eastAsia="zh-CN"/>
        </w:rPr>
        <w:t>17265.78</w:t>
      </w:r>
      <w:r>
        <w:rPr>
          <w:rFonts w:hint="eastAsia" w:ascii="仿宋_GB2312" w:eastAsia="仿宋_GB2312"/>
          <w:sz w:val="32"/>
          <w:szCs w:val="32"/>
        </w:rPr>
        <w:t>万元。与2017年相比，收、支总计各增加</w:t>
      </w:r>
      <w:r>
        <w:rPr>
          <w:rFonts w:hint="eastAsia" w:ascii="仿宋_GB2312" w:eastAsia="仿宋_GB2312"/>
          <w:sz w:val="32"/>
          <w:szCs w:val="32"/>
          <w:lang w:val="en-US" w:eastAsia="zh-CN"/>
        </w:rPr>
        <w:t>607.54</w:t>
      </w:r>
      <w:r>
        <w:rPr>
          <w:rFonts w:hint="eastAsia" w:ascii="仿宋_GB2312" w:eastAsia="仿宋_GB2312"/>
          <w:sz w:val="32"/>
          <w:szCs w:val="32"/>
        </w:rPr>
        <w:t>万元，增长</w:t>
      </w:r>
      <w:r>
        <w:rPr>
          <w:rFonts w:hint="eastAsia" w:ascii="仿宋_GB2312" w:eastAsia="仿宋_GB2312"/>
          <w:sz w:val="32"/>
          <w:szCs w:val="32"/>
          <w:lang w:val="en-US" w:eastAsia="zh-CN"/>
        </w:rPr>
        <w:t>3.65</w:t>
      </w:r>
      <w:r>
        <w:rPr>
          <w:rFonts w:hint="eastAsia" w:ascii="仿宋_GB2312" w:eastAsia="仿宋_GB2312"/>
          <w:sz w:val="32"/>
          <w:szCs w:val="32"/>
        </w:rPr>
        <w:t>%。主要是</w:t>
      </w:r>
      <w:r>
        <w:rPr>
          <w:rFonts w:hint="eastAsia" w:ascii="仿宋_GB2312" w:eastAsia="仿宋_GB2312"/>
          <w:sz w:val="32"/>
          <w:szCs w:val="32"/>
          <w:lang w:eastAsia="zh-CN"/>
        </w:rPr>
        <w:t>住院病人和门诊量增加</w:t>
      </w:r>
      <w:r>
        <w:rPr>
          <w:rFonts w:hint="eastAsia" w:ascii="仿宋_GB2312" w:eastAsia="仿宋_GB2312"/>
          <w:sz w:val="32"/>
          <w:szCs w:val="32"/>
        </w:rPr>
        <w:t>。</w:t>
      </w:r>
      <w:r>
        <w:rPr>
          <w:rFonts w:hint="default" w:ascii="仿宋_GB2312" w:eastAsia="仿宋_GB2312"/>
          <w:sz w:val="32"/>
          <w:szCs w:val="32"/>
          <w:lang w:val="en-US" w:eastAsia="zh-CN"/>
        </w:rPr>
        <w:t>其中人员经费支出</w:t>
      </w:r>
      <w:r>
        <w:rPr>
          <w:rFonts w:hint="eastAsia" w:ascii="仿宋_GB2312" w:eastAsia="仿宋_GB2312"/>
          <w:sz w:val="32"/>
          <w:szCs w:val="32"/>
          <w:lang w:val="en-US" w:eastAsia="zh-CN"/>
        </w:rPr>
        <w:t>6336.71</w:t>
      </w:r>
      <w:r>
        <w:rPr>
          <w:rFonts w:hint="default" w:ascii="仿宋_GB2312" w:eastAsia="仿宋_GB2312"/>
          <w:sz w:val="32"/>
          <w:szCs w:val="32"/>
          <w:lang w:val="en-US" w:eastAsia="zh-CN"/>
        </w:rPr>
        <w:t>万元，日常</w:t>
      </w:r>
      <w:r>
        <w:rPr>
          <w:rFonts w:hint="eastAsia" w:ascii="仿宋_GB2312" w:eastAsia="仿宋_GB2312"/>
          <w:sz w:val="32"/>
          <w:szCs w:val="32"/>
          <w:lang w:val="en-US" w:eastAsia="zh-CN"/>
        </w:rPr>
        <w:t>公</w:t>
      </w:r>
      <w:r>
        <w:rPr>
          <w:rFonts w:hint="default" w:ascii="仿宋_GB2312" w:eastAsia="仿宋_GB2312"/>
          <w:sz w:val="32"/>
          <w:szCs w:val="32"/>
          <w:lang w:val="en-US" w:eastAsia="zh-CN"/>
        </w:rPr>
        <w:t>用经费支出</w:t>
      </w:r>
      <w:r>
        <w:rPr>
          <w:rFonts w:hint="eastAsia" w:ascii="仿宋_GB2312" w:eastAsia="仿宋_GB2312"/>
          <w:sz w:val="32"/>
          <w:szCs w:val="32"/>
          <w:lang w:val="en-US" w:eastAsia="zh-CN"/>
        </w:rPr>
        <w:t>10929.07</w:t>
      </w:r>
      <w:r>
        <w:rPr>
          <w:rFonts w:hint="default" w:ascii="仿宋_GB2312" w:eastAsia="仿宋_GB2312"/>
          <w:sz w:val="32"/>
          <w:szCs w:val="32"/>
          <w:lang w:val="en-US" w:eastAsia="zh-CN"/>
        </w:rPr>
        <w:t>万元。</w:t>
      </w:r>
    </w:p>
    <w:p>
      <w:pPr>
        <w:spacing w:line="580" w:lineRule="exact"/>
        <w:ind w:firstLine="640" w:firstLineChars="200"/>
        <w:rPr>
          <w:rFonts w:hint="default" w:ascii="仿宋_GB2312" w:eastAsia="仿宋_GB2312"/>
          <w:sz w:val="32"/>
          <w:szCs w:val="32"/>
          <w:lang w:val="en-US" w:eastAsia="zh-CN"/>
        </w:rPr>
      </w:pPr>
    </w:p>
    <w:p>
      <w:pPr>
        <w:spacing w:after="0" w:line="239" w:lineRule="auto"/>
        <w:ind w:left="354" w:firstLine="0"/>
        <w:jc w:val="left"/>
        <w:rPr>
          <w:rFonts w:ascii="黑体" w:hAnsi="黑体" w:eastAsia="黑体" w:cs="黑体"/>
          <w:sz w:val="52"/>
        </w:rPr>
      </w:pPr>
      <w:r>
        <w:rPr>
          <w:rFonts w:hint="eastAsia"/>
          <w:color w:val="0000FF"/>
          <w:lang w:val="en-US" w:eastAsia="zh-CN"/>
        </w:rPr>
        <w:t xml:space="preserve">      </w:t>
      </w:r>
      <w:r>
        <w:rPr>
          <w:color w:val="0000FF"/>
        </w:rPr>
        <w:drawing>
          <wp:inline distT="0" distB="0" distL="114300" distR="114300">
            <wp:extent cx="4572000" cy="2743200"/>
            <wp:effectExtent l="4445" t="4445" r="1460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580" w:lineRule="exact"/>
        <w:ind w:firstLine="640" w:firstLineChars="200"/>
        <w:rPr>
          <w:rFonts w:hint="eastAsia" w:ascii="楷体_GB2312" w:eastAsia="楷体_GB2312"/>
          <w:sz w:val="32"/>
          <w:szCs w:val="32"/>
        </w:rPr>
      </w:pPr>
      <w:r>
        <w:rPr>
          <w:rFonts w:hint="eastAsia" w:ascii="楷体_GB2312" w:eastAsia="楷体_GB2312"/>
          <w:sz w:val="32"/>
          <w:szCs w:val="32"/>
        </w:rPr>
        <w:t>（二）收入决算情况</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本年收入合计</w:t>
      </w:r>
      <w:r>
        <w:rPr>
          <w:rFonts w:hint="eastAsia" w:ascii="仿宋_GB2312" w:eastAsia="仿宋_GB2312"/>
          <w:sz w:val="32"/>
          <w:szCs w:val="32"/>
          <w:lang w:val="en-US" w:eastAsia="zh-CN"/>
        </w:rPr>
        <w:t>17265.78</w:t>
      </w:r>
      <w:r>
        <w:rPr>
          <w:rFonts w:hint="eastAsia" w:ascii="仿宋_GB2312" w:eastAsia="仿宋_GB2312"/>
          <w:sz w:val="32"/>
          <w:szCs w:val="32"/>
        </w:rPr>
        <w:t>万元，其中：财政拨款收入</w:t>
      </w:r>
      <w:r>
        <w:rPr>
          <w:rFonts w:hint="eastAsia" w:ascii="仿宋_GB2312" w:eastAsia="仿宋_GB2312"/>
          <w:sz w:val="32"/>
          <w:szCs w:val="32"/>
          <w:lang w:val="en-US" w:eastAsia="zh-CN"/>
        </w:rPr>
        <w:t>149.95</w:t>
      </w:r>
      <w:r>
        <w:rPr>
          <w:rFonts w:hint="eastAsia" w:ascii="仿宋_GB2312" w:eastAsia="仿宋_GB2312"/>
          <w:sz w:val="32"/>
          <w:szCs w:val="32"/>
        </w:rPr>
        <w:t>万元，占</w:t>
      </w:r>
      <w:r>
        <w:rPr>
          <w:rFonts w:hint="eastAsia" w:ascii="仿宋_GB2312" w:eastAsia="仿宋_GB2312"/>
          <w:sz w:val="32"/>
          <w:szCs w:val="32"/>
          <w:lang w:val="en-US" w:eastAsia="zh-CN"/>
        </w:rPr>
        <w:t>0.87</w:t>
      </w:r>
      <w:r>
        <w:rPr>
          <w:rFonts w:hint="eastAsia" w:ascii="仿宋_GB2312" w:eastAsia="仿宋_GB2312"/>
          <w:sz w:val="32"/>
          <w:szCs w:val="32"/>
        </w:rPr>
        <w:t>%；上级补助收入</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hint="eastAsia" w:ascii="仿宋_GB2312" w:eastAsia="仿宋_GB2312"/>
          <w:sz w:val="32"/>
          <w:szCs w:val="32"/>
        </w:rPr>
        <w:t>%；</w:t>
      </w:r>
      <w:r>
        <w:rPr>
          <w:rFonts w:hint="eastAsia" w:ascii="仿宋_GB2312" w:eastAsia="仿宋_GB2312"/>
          <w:sz w:val="32"/>
          <w:szCs w:val="32"/>
          <w:lang w:val="en-US" w:eastAsia="zh-CN"/>
        </w:rPr>
        <w:t>134.15</w:t>
      </w:r>
      <w:r>
        <w:rPr>
          <w:rFonts w:hint="eastAsia" w:ascii="仿宋_GB2312" w:eastAsia="仿宋_GB2312"/>
          <w:sz w:val="32"/>
          <w:szCs w:val="32"/>
        </w:rPr>
        <w:t>其他收入   万元，占</w:t>
      </w:r>
      <w:r>
        <w:rPr>
          <w:rFonts w:hint="eastAsia" w:ascii="仿宋_GB2312" w:eastAsia="仿宋_GB2312"/>
          <w:sz w:val="32"/>
          <w:szCs w:val="32"/>
          <w:lang w:val="en-US" w:eastAsia="zh-CN"/>
        </w:rPr>
        <w:t>0.78</w:t>
      </w:r>
      <w:r>
        <w:rPr>
          <w:rFonts w:hint="eastAsia" w:ascii="仿宋_GB2312" w:eastAsia="仿宋_GB2312"/>
          <w:sz w:val="32"/>
          <w:szCs w:val="32"/>
        </w:rPr>
        <w:t>%</w:t>
      </w:r>
    </w:p>
    <w:p>
      <w:pPr>
        <w:spacing w:line="240" w:lineRule="auto"/>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drawing>
          <wp:inline distT="0" distB="0" distL="114300" distR="114300">
            <wp:extent cx="4590415" cy="2866390"/>
            <wp:effectExtent l="0" t="0" r="635" b="10160"/>
            <wp:docPr id="5" name="图片 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1"/>
                    <pic:cNvPicPr>
                      <a:picLocks noChangeAspect="1"/>
                    </pic:cNvPicPr>
                  </pic:nvPicPr>
                  <pic:blipFill>
                    <a:blip r:embed="rId14"/>
                    <a:stretch>
                      <a:fillRect/>
                    </a:stretch>
                  </pic:blipFill>
                  <pic:spPr>
                    <a:xfrm>
                      <a:off x="0" y="0"/>
                      <a:ext cx="4590415" cy="2866390"/>
                    </a:xfrm>
                    <a:prstGeom prst="rect">
                      <a:avLst/>
                    </a:prstGeom>
                  </pic:spPr>
                </pic:pic>
              </a:graphicData>
            </a:graphic>
          </wp:inline>
        </w:drawing>
      </w:r>
    </w:p>
    <w:p>
      <w:pPr>
        <w:spacing w:line="580" w:lineRule="exact"/>
        <w:ind w:firstLine="640" w:firstLineChars="200"/>
        <w:rPr>
          <w:rFonts w:hint="eastAsia" w:ascii="楷体_GB2312" w:eastAsia="楷体_GB2312"/>
          <w:sz w:val="32"/>
          <w:szCs w:val="32"/>
        </w:rPr>
      </w:pPr>
      <w:r>
        <w:rPr>
          <w:rFonts w:hint="eastAsia" w:ascii="楷体_GB2312" w:eastAsia="楷体_GB2312"/>
          <w:sz w:val="32"/>
          <w:szCs w:val="32"/>
        </w:rPr>
        <w:t>（三）支出决算情况</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本年支出合计</w:t>
      </w:r>
      <w:r>
        <w:rPr>
          <w:rFonts w:hint="eastAsia" w:ascii="仿宋_GB2312" w:eastAsia="仿宋_GB2312"/>
          <w:sz w:val="32"/>
          <w:szCs w:val="32"/>
          <w:lang w:val="en-US" w:eastAsia="zh-CN"/>
        </w:rPr>
        <w:t>17265.78</w:t>
      </w:r>
      <w:r>
        <w:rPr>
          <w:rFonts w:hint="eastAsia" w:ascii="仿宋_GB2312" w:eastAsia="仿宋_GB2312"/>
          <w:sz w:val="32"/>
          <w:szCs w:val="32"/>
        </w:rPr>
        <w:t>万元，其中：基本支出</w:t>
      </w:r>
      <w:r>
        <w:rPr>
          <w:rFonts w:hint="eastAsia" w:ascii="仿宋_GB2312" w:eastAsia="仿宋_GB2312"/>
          <w:sz w:val="32"/>
          <w:szCs w:val="32"/>
          <w:lang w:val="en-US" w:eastAsia="zh-CN"/>
        </w:rPr>
        <w:t>17265.78</w:t>
      </w:r>
      <w:r>
        <w:rPr>
          <w:rFonts w:hint="eastAsia" w:ascii="仿宋_GB2312" w:eastAsia="仿宋_GB2312"/>
          <w:sz w:val="32"/>
          <w:szCs w:val="32"/>
        </w:rPr>
        <w:t>元，占</w:t>
      </w:r>
      <w:r>
        <w:rPr>
          <w:rFonts w:hint="eastAsia" w:ascii="仿宋_GB2312" w:eastAsia="仿宋_GB2312"/>
          <w:sz w:val="32"/>
          <w:szCs w:val="32"/>
          <w:lang w:val="en-US" w:eastAsia="zh-CN"/>
        </w:rPr>
        <w:t>100</w:t>
      </w:r>
      <w:r>
        <w:rPr>
          <w:rFonts w:hint="eastAsia" w:ascii="仿宋_GB2312" w:eastAsia="仿宋_GB2312"/>
          <w:sz w:val="32"/>
          <w:szCs w:val="32"/>
        </w:rPr>
        <w:t>%；项目支出</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hint="eastAsia" w:ascii="仿宋_GB2312" w:eastAsia="仿宋_GB2312"/>
          <w:sz w:val="32"/>
          <w:szCs w:val="32"/>
        </w:rPr>
        <w:t>%；</w:t>
      </w:r>
    </w:p>
    <w:p>
      <w:pPr>
        <w:spacing w:line="580" w:lineRule="exact"/>
        <w:ind w:firstLine="600"/>
        <w:rPr>
          <w:rFonts w:hint="eastAsia" w:ascii="楷体_GB2312" w:eastAsia="楷体_GB2312"/>
          <w:sz w:val="32"/>
          <w:szCs w:val="32"/>
        </w:rPr>
      </w:pPr>
      <w:r>
        <w:rPr>
          <w:rFonts w:hint="eastAsia" w:ascii="楷体_GB2312" w:eastAsia="楷体_GB2312"/>
          <w:sz w:val="32"/>
          <w:szCs w:val="32"/>
        </w:rPr>
        <w:t>（四）财政拨款收入支出决算总体情况</w:t>
      </w:r>
    </w:p>
    <w:p>
      <w:pPr>
        <w:spacing w:line="5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2018年度财政拨款收、支总计</w:t>
      </w:r>
      <w:r>
        <w:rPr>
          <w:rFonts w:hint="eastAsia" w:ascii="仿宋_GB2312" w:eastAsia="仿宋_GB2312"/>
          <w:sz w:val="32"/>
          <w:szCs w:val="32"/>
          <w:lang w:val="en-US" w:eastAsia="zh-CN"/>
        </w:rPr>
        <w:t>149.95</w:t>
      </w:r>
      <w:r>
        <w:rPr>
          <w:rFonts w:hint="eastAsia" w:ascii="仿宋_GB2312" w:eastAsia="仿宋_GB2312"/>
          <w:sz w:val="32"/>
          <w:szCs w:val="32"/>
        </w:rPr>
        <w:t>万元。与2017年相比，财政拨款收、支总计各减少</w:t>
      </w:r>
      <w:r>
        <w:rPr>
          <w:rFonts w:hint="eastAsia" w:ascii="仿宋_GB2312" w:eastAsia="仿宋_GB2312"/>
          <w:sz w:val="32"/>
          <w:szCs w:val="32"/>
          <w:lang w:val="en-US" w:eastAsia="zh-CN"/>
        </w:rPr>
        <w:t>35.05</w:t>
      </w:r>
      <w:r>
        <w:rPr>
          <w:rFonts w:hint="eastAsia" w:ascii="仿宋_GB2312" w:eastAsia="仿宋_GB2312"/>
          <w:sz w:val="32"/>
          <w:szCs w:val="32"/>
        </w:rPr>
        <w:t>万元，减少</w:t>
      </w:r>
      <w:r>
        <w:rPr>
          <w:rFonts w:hint="eastAsia" w:ascii="仿宋_GB2312" w:eastAsia="仿宋_GB2312"/>
          <w:sz w:val="32"/>
          <w:szCs w:val="32"/>
          <w:lang w:val="en-US" w:eastAsia="zh-CN"/>
        </w:rPr>
        <w:t>18.95</w:t>
      </w:r>
      <w:r>
        <w:rPr>
          <w:rFonts w:hint="eastAsia" w:ascii="仿宋_GB2312" w:eastAsia="仿宋_GB2312"/>
          <w:sz w:val="32"/>
          <w:szCs w:val="32"/>
        </w:rPr>
        <w:t>%。主要是</w:t>
      </w:r>
      <w:r>
        <w:rPr>
          <w:rFonts w:hint="eastAsia" w:ascii="仿宋_GB2312" w:eastAsia="仿宋_GB2312"/>
          <w:sz w:val="32"/>
          <w:szCs w:val="32"/>
          <w:lang w:eastAsia="zh-CN"/>
        </w:rPr>
        <w:t>财政拨款</w:t>
      </w:r>
      <w:r>
        <w:rPr>
          <w:rFonts w:hint="eastAsia" w:ascii="仿宋_GB2312" w:eastAsia="仿宋_GB2312"/>
          <w:sz w:val="32"/>
          <w:szCs w:val="32"/>
        </w:rPr>
        <w:t>减少</w:t>
      </w:r>
      <w:r>
        <w:rPr>
          <w:rFonts w:hint="eastAsia" w:ascii="仿宋_GB2312" w:eastAsia="仿宋_GB2312"/>
          <w:sz w:val="32"/>
          <w:szCs w:val="32"/>
          <w:lang w:val="en-US" w:eastAsia="zh-CN"/>
        </w:rPr>
        <w:t>35.05万元</w:t>
      </w:r>
    </w:p>
    <w:p>
      <w:pPr>
        <w:spacing w:line="580" w:lineRule="exact"/>
        <w:ind w:firstLine="600"/>
        <w:rPr>
          <w:rFonts w:hint="eastAsia" w:ascii="楷体_GB2312" w:eastAsia="楷体_GB2312"/>
          <w:sz w:val="32"/>
          <w:szCs w:val="32"/>
        </w:rPr>
      </w:pPr>
      <w:r>
        <w:rPr>
          <w:rFonts w:hint="eastAsia" w:ascii="楷体_GB2312" w:eastAsia="楷体_GB2312"/>
          <w:sz w:val="32"/>
          <w:szCs w:val="32"/>
        </w:rPr>
        <w:t>（五）一般公共预算财政拨款支出决算情况</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1、一般公共预算财政拨款支出决算总体情况</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2018年度一般公共预算财政拨款支出</w:t>
      </w:r>
      <w:r>
        <w:rPr>
          <w:rFonts w:hint="eastAsia" w:ascii="仿宋_GB2312" w:eastAsia="仿宋_GB2312"/>
          <w:sz w:val="32"/>
          <w:szCs w:val="32"/>
          <w:lang w:val="en-US" w:eastAsia="zh-CN"/>
        </w:rPr>
        <w:t>149.95</w:t>
      </w:r>
      <w:r>
        <w:rPr>
          <w:rFonts w:hint="eastAsia" w:ascii="仿宋_GB2312" w:eastAsia="仿宋_GB2312"/>
          <w:sz w:val="32"/>
          <w:szCs w:val="32"/>
        </w:rPr>
        <w:t>万元，占本年支出合计的</w:t>
      </w:r>
      <w:r>
        <w:rPr>
          <w:rFonts w:hint="eastAsia" w:ascii="仿宋_GB2312" w:eastAsia="仿宋_GB2312"/>
          <w:sz w:val="32"/>
          <w:szCs w:val="32"/>
          <w:lang w:val="en-US" w:eastAsia="zh-CN"/>
        </w:rPr>
        <w:t>0.87</w:t>
      </w:r>
      <w:r>
        <w:rPr>
          <w:rFonts w:hint="eastAsia" w:ascii="仿宋_GB2312" w:eastAsia="仿宋_GB2312"/>
          <w:sz w:val="32"/>
          <w:szCs w:val="32"/>
        </w:rPr>
        <w:t>%。与2017年相比，一般公共预算财政拨款支出减少</w:t>
      </w:r>
      <w:r>
        <w:rPr>
          <w:rFonts w:hint="eastAsia" w:ascii="仿宋_GB2312" w:eastAsia="仿宋_GB2312"/>
          <w:sz w:val="32"/>
          <w:szCs w:val="32"/>
          <w:lang w:val="en-US" w:eastAsia="zh-CN"/>
        </w:rPr>
        <w:t>35.05</w:t>
      </w:r>
      <w:r>
        <w:rPr>
          <w:rFonts w:hint="eastAsia" w:ascii="仿宋_GB2312" w:eastAsia="仿宋_GB2312"/>
          <w:sz w:val="32"/>
          <w:szCs w:val="32"/>
        </w:rPr>
        <w:t>万元，减少</w:t>
      </w:r>
      <w:r>
        <w:rPr>
          <w:rFonts w:hint="eastAsia" w:ascii="仿宋_GB2312" w:eastAsia="仿宋_GB2312"/>
          <w:sz w:val="32"/>
          <w:szCs w:val="32"/>
          <w:lang w:val="en-US" w:eastAsia="zh-CN"/>
        </w:rPr>
        <w:t>18.95</w:t>
      </w:r>
      <w:r>
        <w:rPr>
          <w:rFonts w:hint="eastAsia" w:ascii="仿宋_GB2312" w:eastAsia="仿宋_GB2312"/>
          <w:sz w:val="32"/>
          <w:szCs w:val="32"/>
        </w:rPr>
        <w:t>%。</w:t>
      </w:r>
    </w:p>
    <w:p>
      <w:pPr>
        <w:spacing w:line="580" w:lineRule="exact"/>
        <w:rPr>
          <w:rFonts w:hint="eastAsia" w:ascii="仿宋_GB2312" w:eastAsia="仿宋_GB2312"/>
          <w:b/>
          <w:sz w:val="32"/>
          <w:szCs w:val="32"/>
        </w:rPr>
      </w:pPr>
    </w:p>
    <w:p>
      <w:pPr>
        <w:spacing w:line="580" w:lineRule="exact"/>
        <w:ind w:left="0" w:leftChars="0" w:firstLine="0" w:firstLineChars="0"/>
        <w:rPr>
          <w:rFonts w:hint="eastAsia" w:ascii="仿宋_GB2312" w:eastAsia="仿宋_GB2312"/>
          <w:b/>
          <w:sz w:val="32"/>
          <w:szCs w:val="32"/>
        </w:rPr>
      </w:pPr>
    </w:p>
    <w:p>
      <w:pPr>
        <w:spacing w:line="240" w:lineRule="auto"/>
        <w:ind w:left="0" w:leftChars="0" w:firstLine="0" w:firstLineChars="0"/>
        <w:rPr>
          <w:rFonts w:hint="eastAsia" w:ascii="仿宋_GB2312" w:eastAsia="仿宋_GB2312"/>
          <w:sz w:val="32"/>
          <w:szCs w:val="32"/>
          <w:lang w:val="en-US" w:eastAsia="zh-CN"/>
        </w:rPr>
      </w:pPr>
      <w:r>
        <w:rPr>
          <w:rFonts w:hint="eastAsia" w:ascii="仿宋_GB2312" w:eastAsia="仿宋_GB2312"/>
          <w:sz w:val="32"/>
          <w:szCs w:val="32"/>
          <w:lang w:val="en-US" w:eastAsia="zh-CN"/>
        </w:rPr>
        <w:drawing>
          <wp:inline distT="0" distB="0" distL="114300" distR="114300">
            <wp:extent cx="5152390" cy="2761615"/>
            <wp:effectExtent l="0" t="0" r="10160" b="635"/>
            <wp:docPr id="7" name="图片 7"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2"/>
                    <pic:cNvPicPr>
                      <a:picLocks noChangeAspect="1"/>
                    </pic:cNvPicPr>
                  </pic:nvPicPr>
                  <pic:blipFill>
                    <a:blip r:embed="rId15"/>
                    <a:stretch>
                      <a:fillRect/>
                    </a:stretch>
                  </pic:blipFill>
                  <pic:spPr>
                    <a:xfrm>
                      <a:off x="0" y="0"/>
                      <a:ext cx="5152390" cy="2761615"/>
                    </a:xfrm>
                    <a:prstGeom prst="rect">
                      <a:avLst/>
                    </a:prstGeom>
                  </pic:spPr>
                </pic:pic>
              </a:graphicData>
            </a:graphic>
          </wp:inline>
        </w:drawing>
      </w:r>
    </w:p>
    <w:p>
      <w:pPr>
        <w:spacing w:line="240" w:lineRule="auto"/>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2、一般公共预算财政拨款支出决算结构情况</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2018年度一般公共预算财政拨款支出</w:t>
      </w:r>
      <w:r>
        <w:rPr>
          <w:rFonts w:hint="eastAsia" w:ascii="仿宋_GB2312" w:eastAsia="仿宋_GB2312"/>
          <w:sz w:val="32"/>
          <w:szCs w:val="32"/>
          <w:lang w:val="en-US" w:eastAsia="zh-CN"/>
        </w:rPr>
        <w:t>149.95</w:t>
      </w:r>
      <w:r>
        <w:rPr>
          <w:rFonts w:hint="eastAsia" w:ascii="仿宋_GB2312" w:eastAsia="仿宋_GB2312"/>
          <w:sz w:val="32"/>
          <w:szCs w:val="32"/>
        </w:rPr>
        <w:t>万元，主要用于以下方面：</w:t>
      </w:r>
      <w:r>
        <w:rPr>
          <w:rFonts w:hint="eastAsia" w:ascii="仿宋_GB2312" w:eastAsia="仿宋_GB2312"/>
          <w:sz w:val="32"/>
          <w:szCs w:val="32"/>
          <w:lang w:eastAsia="zh-CN"/>
        </w:rPr>
        <w:t>公立医院</w:t>
      </w:r>
      <w:r>
        <w:rPr>
          <w:rFonts w:hint="eastAsia" w:ascii="仿宋_GB2312" w:eastAsia="仿宋_GB2312"/>
          <w:sz w:val="32"/>
          <w:szCs w:val="32"/>
          <w:lang w:val="en-US" w:eastAsia="zh-CN"/>
        </w:rPr>
        <w:t>-综合医院</w:t>
      </w:r>
      <w:r>
        <w:rPr>
          <w:rFonts w:hint="eastAsia" w:ascii="仿宋_GB2312" w:eastAsia="仿宋_GB2312"/>
          <w:sz w:val="32"/>
          <w:szCs w:val="32"/>
        </w:rPr>
        <w:t>支出</w:t>
      </w:r>
      <w:r>
        <w:rPr>
          <w:rFonts w:hint="eastAsia" w:ascii="仿宋_GB2312" w:eastAsia="仿宋_GB2312"/>
          <w:sz w:val="32"/>
          <w:szCs w:val="32"/>
          <w:lang w:val="en-US" w:eastAsia="zh-CN"/>
        </w:rPr>
        <w:t>40</w:t>
      </w:r>
      <w:r>
        <w:rPr>
          <w:rFonts w:hint="eastAsia" w:ascii="仿宋_GB2312" w:eastAsia="仿宋_GB2312"/>
          <w:sz w:val="32"/>
          <w:szCs w:val="32"/>
        </w:rPr>
        <w:t>万元，占</w:t>
      </w:r>
      <w:r>
        <w:rPr>
          <w:rFonts w:hint="eastAsia" w:ascii="仿宋_GB2312" w:eastAsia="仿宋_GB2312"/>
          <w:sz w:val="32"/>
          <w:szCs w:val="32"/>
          <w:lang w:val="en-US" w:eastAsia="zh-CN"/>
        </w:rPr>
        <w:t>26.68</w:t>
      </w:r>
      <w:r>
        <w:rPr>
          <w:rFonts w:hint="eastAsia" w:ascii="仿宋_GB2312" w:eastAsia="仿宋_GB2312"/>
          <w:sz w:val="32"/>
          <w:szCs w:val="32"/>
        </w:rPr>
        <w:t>%；</w:t>
      </w:r>
      <w:r>
        <w:rPr>
          <w:rFonts w:hint="eastAsia" w:ascii="仿宋_GB2312" w:eastAsia="仿宋_GB2312"/>
          <w:sz w:val="32"/>
          <w:szCs w:val="32"/>
          <w:lang w:eastAsia="zh-CN"/>
        </w:rPr>
        <w:t>公立医院</w:t>
      </w:r>
      <w:r>
        <w:rPr>
          <w:rFonts w:hint="eastAsia" w:ascii="仿宋_GB2312" w:eastAsia="仿宋_GB2312"/>
          <w:sz w:val="32"/>
          <w:szCs w:val="32"/>
          <w:lang w:val="en-US" w:eastAsia="zh-CN"/>
        </w:rPr>
        <w:t>-其他公立医院</w:t>
      </w:r>
      <w:r>
        <w:rPr>
          <w:rFonts w:hint="eastAsia" w:ascii="仿宋_GB2312" w:eastAsia="仿宋_GB2312"/>
          <w:sz w:val="32"/>
          <w:szCs w:val="32"/>
        </w:rPr>
        <w:t>支出</w:t>
      </w:r>
      <w:r>
        <w:rPr>
          <w:rFonts w:hint="eastAsia" w:ascii="仿宋_GB2312" w:eastAsia="仿宋_GB2312"/>
          <w:sz w:val="32"/>
          <w:szCs w:val="32"/>
          <w:lang w:val="en-US" w:eastAsia="zh-CN"/>
        </w:rPr>
        <w:t>89</w:t>
      </w:r>
      <w:r>
        <w:rPr>
          <w:rFonts w:hint="eastAsia" w:ascii="仿宋_GB2312" w:eastAsia="仿宋_GB2312"/>
          <w:sz w:val="32"/>
          <w:szCs w:val="32"/>
        </w:rPr>
        <w:t>万元，占</w:t>
      </w:r>
      <w:r>
        <w:rPr>
          <w:rFonts w:hint="eastAsia" w:ascii="仿宋_GB2312" w:eastAsia="仿宋_GB2312"/>
          <w:sz w:val="32"/>
          <w:szCs w:val="32"/>
          <w:lang w:val="en-US" w:eastAsia="zh-CN"/>
        </w:rPr>
        <w:t>59.35</w:t>
      </w:r>
      <w:r>
        <w:rPr>
          <w:rFonts w:hint="eastAsia" w:ascii="仿宋_GB2312" w:eastAsia="仿宋_GB2312"/>
          <w:sz w:val="32"/>
          <w:szCs w:val="32"/>
        </w:rPr>
        <w:t>%；</w:t>
      </w:r>
      <w:r>
        <w:rPr>
          <w:rFonts w:hint="eastAsia" w:ascii="仿宋_GB2312" w:eastAsia="仿宋_GB2312"/>
          <w:sz w:val="32"/>
          <w:szCs w:val="32"/>
          <w:lang w:eastAsia="zh-CN"/>
        </w:rPr>
        <w:t>公共卫生</w:t>
      </w:r>
      <w:r>
        <w:rPr>
          <w:rFonts w:hint="eastAsia" w:ascii="仿宋_GB2312" w:eastAsia="仿宋_GB2312"/>
          <w:sz w:val="32"/>
          <w:szCs w:val="32"/>
          <w:lang w:val="en-US" w:eastAsia="zh-CN"/>
        </w:rPr>
        <w:t>-重大公共卫生专项支</w:t>
      </w:r>
      <w:r>
        <w:rPr>
          <w:rFonts w:hint="eastAsia" w:ascii="仿宋_GB2312" w:eastAsia="仿宋_GB2312"/>
          <w:sz w:val="32"/>
          <w:szCs w:val="32"/>
        </w:rPr>
        <w:t>出</w:t>
      </w:r>
      <w:r>
        <w:rPr>
          <w:rFonts w:hint="eastAsia" w:ascii="仿宋_GB2312" w:eastAsia="仿宋_GB2312"/>
          <w:sz w:val="32"/>
          <w:szCs w:val="32"/>
          <w:lang w:val="en-US" w:eastAsia="zh-CN"/>
        </w:rPr>
        <w:t>0.95</w:t>
      </w:r>
      <w:r>
        <w:rPr>
          <w:rFonts w:hint="eastAsia" w:ascii="仿宋_GB2312" w:eastAsia="仿宋_GB2312"/>
          <w:sz w:val="32"/>
          <w:szCs w:val="32"/>
        </w:rPr>
        <w:t>万元，占</w:t>
      </w:r>
      <w:r>
        <w:rPr>
          <w:rFonts w:hint="eastAsia" w:ascii="仿宋_GB2312" w:eastAsia="仿宋_GB2312"/>
          <w:sz w:val="32"/>
          <w:szCs w:val="32"/>
          <w:lang w:val="en-US" w:eastAsia="zh-CN"/>
        </w:rPr>
        <w:t>0.63</w:t>
      </w:r>
      <w:r>
        <w:rPr>
          <w:rFonts w:hint="eastAsia" w:ascii="仿宋_GB2312" w:eastAsia="仿宋_GB2312"/>
          <w:sz w:val="32"/>
          <w:szCs w:val="32"/>
        </w:rPr>
        <w:t>%；</w:t>
      </w:r>
      <w:r>
        <w:rPr>
          <w:rFonts w:hint="eastAsia" w:ascii="仿宋_GB2312" w:eastAsia="仿宋_GB2312"/>
          <w:sz w:val="32"/>
          <w:szCs w:val="32"/>
          <w:lang w:eastAsia="zh-CN"/>
        </w:rPr>
        <w:t>其他医疗卫生与计划生育</w:t>
      </w:r>
      <w:r>
        <w:rPr>
          <w:rFonts w:hint="eastAsia" w:ascii="仿宋_GB2312" w:eastAsia="仿宋_GB2312"/>
          <w:sz w:val="32"/>
          <w:szCs w:val="32"/>
        </w:rPr>
        <w:t>支出</w:t>
      </w:r>
      <w:r>
        <w:rPr>
          <w:rFonts w:hint="eastAsia" w:ascii="仿宋_GB2312" w:eastAsia="仿宋_GB2312"/>
          <w:sz w:val="32"/>
          <w:szCs w:val="32"/>
          <w:lang w:val="en-US" w:eastAsia="zh-CN"/>
        </w:rPr>
        <w:t>20</w:t>
      </w:r>
      <w:r>
        <w:rPr>
          <w:rFonts w:hint="eastAsia" w:ascii="仿宋_GB2312" w:eastAsia="仿宋_GB2312"/>
          <w:sz w:val="32"/>
          <w:szCs w:val="32"/>
        </w:rPr>
        <w:t>万元，占</w:t>
      </w:r>
      <w:r>
        <w:rPr>
          <w:rFonts w:hint="eastAsia" w:ascii="仿宋_GB2312" w:eastAsia="仿宋_GB2312"/>
          <w:sz w:val="32"/>
          <w:szCs w:val="32"/>
          <w:lang w:val="en-US" w:eastAsia="zh-CN"/>
        </w:rPr>
        <w:t>13.34</w:t>
      </w:r>
      <w:r>
        <w:rPr>
          <w:rFonts w:hint="eastAsia" w:ascii="仿宋_GB2312" w:eastAsia="仿宋_GB2312"/>
          <w:sz w:val="32"/>
          <w:szCs w:val="32"/>
        </w:rPr>
        <w:t>%。</w:t>
      </w:r>
    </w:p>
    <w:p>
      <w:pPr>
        <w:spacing w:line="240" w:lineRule="auto"/>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drawing>
          <wp:inline distT="0" distB="0" distL="114300" distR="114300">
            <wp:extent cx="4942840" cy="2761615"/>
            <wp:effectExtent l="0" t="0" r="10160" b="635"/>
            <wp:docPr id="8" name="图片 8"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3"/>
                    <pic:cNvPicPr>
                      <a:picLocks noChangeAspect="1"/>
                    </pic:cNvPicPr>
                  </pic:nvPicPr>
                  <pic:blipFill>
                    <a:blip r:embed="rId16"/>
                    <a:stretch>
                      <a:fillRect/>
                    </a:stretch>
                  </pic:blipFill>
                  <pic:spPr>
                    <a:xfrm>
                      <a:off x="0" y="0"/>
                      <a:ext cx="4942840" cy="2761615"/>
                    </a:xfrm>
                    <a:prstGeom prst="rect">
                      <a:avLst/>
                    </a:prstGeom>
                  </pic:spPr>
                </pic:pic>
              </a:graphicData>
            </a:graphic>
          </wp:inline>
        </w:drawing>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3、一般公共预算财政拨款支出决算具体情况</w:t>
      </w:r>
    </w:p>
    <w:p>
      <w:pPr>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2018年度一般公共预算财政拨款支出年初预算为</w:t>
      </w:r>
      <w:r>
        <w:rPr>
          <w:rFonts w:hint="eastAsia" w:ascii="仿宋_GB2312" w:eastAsia="仿宋_GB2312"/>
          <w:sz w:val="32"/>
          <w:szCs w:val="32"/>
          <w:lang w:val="en-US" w:eastAsia="zh-CN"/>
        </w:rPr>
        <w:t>40</w:t>
      </w:r>
      <w:r>
        <w:rPr>
          <w:rFonts w:hint="eastAsia" w:ascii="仿宋_GB2312" w:eastAsia="仿宋_GB2312"/>
          <w:sz w:val="32"/>
          <w:szCs w:val="32"/>
        </w:rPr>
        <w:t>万元，支出决算为</w:t>
      </w:r>
      <w:r>
        <w:rPr>
          <w:rFonts w:hint="eastAsia" w:ascii="仿宋_GB2312" w:eastAsia="仿宋_GB2312"/>
          <w:sz w:val="32"/>
          <w:szCs w:val="32"/>
          <w:lang w:val="en-US" w:eastAsia="zh-CN"/>
        </w:rPr>
        <w:t>149.95</w:t>
      </w:r>
      <w:r>
        <w:rPr>
          <w:rFonts w:hint="eastAsia" w:ascii="仿宋_GB2312" w:eastAsia="仿宋_GB2312"/>
          <w:sz w:val="32"/>
          <w:szCs w:val="32"/>
        </w:rPr>
        <w:t>万元。决算数大于预算数的主要原因</w:t>
      </w:r>
      <w:r>
        <w:rPr>
          <w:rFonts w:hint="eastAsia" w:ascii="仿宋_GB2312" w:eastAsia="仿宋_GB2312"/>
          <w:sz w:val="32"/>
          <w:szCs w:val="32"/>
          <w:lang w:eastAsia="zh-CN"/>
        </w:rPr>
        <w:t>财政拨款决算数高于预算数。</w:t>
      </w:r>
    </w:p>
    <w:p>
      <w:pPr>
        <w:spacing w:line="580" w:lineRule="exact"/>
        <w:ind w:firstLine="600"/>
        <w:rPr>
          <w:rFonts w:hint="eastAsia" w:ascii="楷体_GB2312" w:eastAsia="楷体_GB2312"/>
          <w:sz w:val="32"/>
          <w:szCs w:val="32"/>
        </w:rPr>
      </w:pPr>
      <w:r>
        <w:rPr>
          <w:rFonts w:hint="eastAsia" w:ascii="楷体_GB2312" w:eastAsia="楷体_GB2312"/>
          <w:sz w:val="32"/>
          <w:szCs w:val="32"/>
        </w:rPr>
        <w:t>（六）一般公共预算财政拨款基本支出决算情况</w:t>
      </w:r>
    </w:p>
    <w:p>
      <w:pPr>
        <w:spacing w:line="580" w:lineRule="exact"/>
        <w:ind w:firstLine="600"/>
        <w:rPr>
          <w:rFonts w:hint="eastAsia" w:ascii="仿宋_GB2312" w:eastAsia="仿宋_GB2312"/>
          <w:sz w:val="32"/>
          <w:szCs w:val="32"/>
        </w:rPr>
      </w:pPr>
      <w:r>
        <w:rPr>
          <w:rFonts w:hint="eastAsia" w:ascii="仿宋_GB2312" w:eastAsia="仿宋_GB2312"/>
          <w:sz w:val="32"/>
          <w:szCs w:val="32"/>
        </w:rPr>
        <w:t>2018年度一般公共预算财政拨款基本支出决算</w:t>
      </w:r>
      <w:r>
        <w:rPr>
          <w:rFonts w:hint="eastAsia" w:ascii="仿宋_GB2312" w:eastAsia="仿宋_GB2312"/>
          <w:sz w:val="32"/>
          <w:szCs w:val="32"/>
          <w:lang w:val="en-US" w:eastAsia="zh-CN"/>
        </w:rPr>
        <w:t>149.95</w:t>
      </w:r>
      <w:r>
        <w:rPr>
          <w:rFonts w:hint="eastAsia" w:ascii="仿宋_GB2312" w:eastAsia="仿宋_GB2312"/>
          <w:sz w:val="32"/>
          <w:szCs w:val="32"/>
        </w:rPr>
        <w:t>万元，包括人员经费和公用经费，支出具体情况如下：</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人员经费</w:t>
      </w:r>
      <w:r>
        <w:rPr>
          <w:rFonts w:hint="eastAsia" w:ascii="仿宋_GB2312" w:eastAsia="仿宋_GB2312"/>
          <w:sz w:val="32"/>
          <w:szCs w:val="32"/>
          <w:lang w:val="en-US" w:eastAsia="zh-CN"/>
        </w:rPr>
        <w:t>40</w:t>
      </w:r>
      <w:r>
        <w:rPr>
          <w:rFonts w:hint="eastAsia" w:ascii="仿宋_GB2312" w:eastAsia="仿宋_GB2312"/>
          <w:sz w:val="32"/>
          <w:szCs w:val="32"/>
        </w:rPr>
        <w:t>万元，主要包括：基本工资</w:t>
      </w:r>
      <w:r>
        <w:rPr>
          <w:rFonts w:hint="eastAsia" w:ascii="仿宋_GB2312" w:eastAsia="仿宋_GB2312"/>
          <w:sz w:val="32"/>
          <w:szCs w:val="32"/>
          <w:lang w:val="en-US" w:eastAsia="zh-CN"/>
        </w:rPr>
        <w:t>10万元</w:t>
      </w:r>
      <w:r>
        <w:rPr>
          <w:rFonts w:hint="eastAsia" w:ascii="仿宋_GB2312" w:eastAsia="仿宋_GB2312"/>
          <w:sz w:val="32"/>
          <w:szCs w:val="32"/>
        </w:rPr>
        <w:t>、津贴补贴、奖金</w:t>
      </w:r>
      <w:r>
        <w:rPr>
          <w:rFonts w:hint="eastAsia" w:ascii="仿宋_GB2312" w:eastAsia="仿宋_GB2312"/>
          <w:sz w:val="32"/>
          <w:szCs w:val="32"/>
          <w:lang w:eastAsia="zh-CN"/>
        </w:rPr>
        <w:t>、伙食补助费、绩效工资、五险一金</w:t>
      </w:r>
      <w:r>
        <w:rPr>
          <w:rFonts w:hint="eastAsia" w:ascii="仿宋_GB2312" w:eastAsia="仿宋_GB2312"/>
          <w:sz w:val="32"/>
          <w:szCs w:val="32"/>
        </w:rPr>
        <w:t>等。</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日常</w:t>
      </w:r>
      <w:r>
        <w:rPr>
          <w:rFonts w:hint="eastAsia" w:ascii="仿宋_GB2312" w:eastAsia="仿宋_GB2312"/>
          <w:sz w:val="32"/>
          <w:szCs w:val="32"/>
        </w:rPr>
        <w:t>公用经费</w:t>
      </w:r>
      <w:r>
        <w:rPr>
          <w:rFonts w:hint="eastAsia" w:ascii="仿宋_GB2312" w:eastAsia="仿宋_GB2312"/>
          <w:sz w:val="32"/>
          <w:szCs w:val="32"/>
          <w:lang w:val="en-US" w:eastAsia="zh-CN"/>
        </w:rPr>
        <w:t>109.95</w:t>
      </w:r>
      <w:r>
        <w:rPr>
          <w:rFonts w:hint="eastAsia" w:ascii="仿宋_GB2312" w:eastAsia="仿宋_GB2312"/>
          <w:sz w:val="32"/>
          <w:szCs w:val="32"/>
        </w:rPr>
        <w:t>万元，主要包括：办公费、印刷费、咨询费</w:t>
      </w:r>
      <w:r>
        <w:rPr>
          <w:rFonts w:hint="eastAsia" w:ascii="仿宋_GB2312" w:eastAsia="仿宋_GB2312"/>
          <w:sz w:val="32"/>
          <w:szCs w:val="32"/>
          <w:lang w:eastAsia="zh-CN"/>
        </w:rPr>
        <w:t>、手续费、水费、电费、物业费、专用材料费、工会经费</w:t>
      </w:r>
      <w:r>
        <w:rPr>
          <w:rFonts w:hint="eastAsia" w:ascii="仿宋_GB2312" w:eastAsia="仿宋_GB2312"/>
          <w:sz w:val="32"/>
          <w:szCs w:val="32"/>
        </w:rPr>
        <w:t>等。</w:t>
      </w:r>
    </w:p>
    <w:p>
      <w:pPr>
        <w:spacing w:line="580" w:lineRule="exact"/>
        <w:ind w:firstLine="600"/>
        <w:rPr>
          <w:rFonts w:hint="eastAsia" w:ascii="楷体_GB2312" w:eastAsia="楷体_GB2312"/>
          <w:sz w:val="32"/>
          <w:szCs w:val="32"/>
        </w:rPr>
      </w:pPr>
      <w:r>
        <w:rPr>
          <w:rFonts w:hint="eastAsia" w:ascii="楷体_GB2312" w:eastAsia="楷体_GB2312"/>
          <w:sz w:val="32"/>
          <w:szCs w:val="32"/>
        </w:rPr>
        <w:t>（七）政府性基金预算财政拨款收入支出决算情况</w:t>
      </w:r>
    </w:p>
    <w:p>
      <w:pPr>
        <w:spacing w:line="600" w:lineRule="exact"/>
        <w:ind w:firstLine="600"/>
        <w:rPr>
          <w:rFonts w:hint="eastAsia" w:ascii="仿宋_GB2312" w:eastAsia="仿宋_GB2312"/>
          <w:sz w:val="32"/>
          <w:szCs w:val="32"/>
        </w:rPr>
      </w:pPr>
      <w:r>
        <w:rPr>
          <w:rFonts w:hint="eastAsia" w:ascii="仿宋_GB2312" w:eastAsia="仿宋_GB2312"/>
          <w:sz w:val="32"/>
          <w:szCs w:val="32"/>
        </w:rPr>
        <w:t>本部门没有政府性基金财政拨款收支。公开表格实行零报告</w:t>
      </w:r>
      <w:r>
        <w:rPr>
          <w:rFonts w:hint="eastAsia" w:ascii="仿宋_GB2312" w:eastAsia="仿宋_GB2312"/>
          <w:sz w:val="32"/>
          <w:szCs w:val="32"/>
          <w:lang w:eastAsia="zh-CN"/>
        </w:rPr>
        <w:t>。</w:t>
      </w:r>
    </w:p>
    <w:p>
      <w:pPr>
        <w:spacing w:line="580" w:lineRule="exact"/>
        <w:ind w:firstLine="600"/>
        <w:rPr>
          <w:rFonts w:hint="eastAsia" w:ascii="楷体_GB2312" w:eastAsia="楷体_GB2312"/>
          <w:sz w:val="32"/>
          <w:szCs w:val="32"/>
        </w:rPr>
      </w:pPr>
      <w:r>
        <w:rPr>
          <w:rFonts w:hint="eastAsia" w:ascii="楷体_GB2312" w:eastAsia="楷体_GB2312"/>
          <w:sz w:val="32"/>
          <w:szCs w:val="32"/>
        </w:rPr>
        <w:t>（八）一般公共预算财政拨款“三公”经费支出决算情况</w:t>
      </w:r>
    </w:p>
    <w:p>
      <w:pPr>
        <w:spacing w:line="580" w:lineRule="exact"/>
        <w:ind w:firstLine="600"/>
        <w:rPr>
          <w:rFonts w:hint="eastAsia" w:ascii="仿宋_GB2312" w:hAnsi="宋体" w:eastAsia="仿宋_GB2312" w:cs="Courier New"/>
          <w:sz w:val="32"/>
          <w:szCs w:val="32"/>
          <w:lang w:val="en-US" w:eastAsia="zh-CN"/>
        </w:rPr>
      </w:pPr>
      <w:r>
        <w:rPr>
          <w:rFonts w:hint="eastAsia" w:ascii="仿宋_GB2312" w:hAnsi="宋体" w:eastAsia="仿宋_GB2312" w:cs="Courier New"/>
          <w:sz w:val="32"/>
          <w:szCs w:val="32"/>
          <w:lang w:eastAsia="zh-CN"/>
        </w:rPr>
        <w:t>本部门</w:t>
      </w:r>
      <w:r>
        <w:rPr>
          <w:rFonts w:hint="eastAsia" w:ascii="仿宋_GB2312" w:hAnsi="宋体" w:eastAsia="仿宋_GB2312" w:cs="Courier New"/>
          <w:sz w:val="32"/>
          <w:szCs w:val="32"/>
          <w:lang w:val="en-US" w:eastAsia="zh-CN"/>
        </w:rPr>
        <w:t>2018年度一般公共预算财政拨款无“三公”经费支出，2018年度决算一般公共预算财政拨款无“三公”经费支出，公开表格实行零报告。</w:t>
      </w:r>
    </w:p>
    <w:p>
      <w:pPr>
        <w:spacing w:line="580" w:lineRule="exact"/>
        <w:ind w:firstLine="600"/>
        <w:rPr>
          <w:rFonts w:hint="eastAsia" w:ascii="黑体" w:hAnsi="黑体" w:eastAsia="黑体"/>
          <w:sz w:val="32"/>
          <w:szCs w:val="32"/>
        </w:rPr>
      </w:pPr>
      <w:r>
        <w:rPr>
          <w:rFonts w:hint="eastAsia" w:ascii="黑体" w:hAnsi="黑体" w:eastAsia="黑体"/>
          <w:sz w:val="32"/>
          <w:szCs w:val="32"/>
        </w:rPr>
        <w:t>二、重要事项说明</w:t>
      </w:r>
    </w:p>
    <w:p>
      <w:pPr>
        <w:keepNext w:val="0"/>
        <w:keepLines w:val="0"/>
        <w:pageBreakBefore w:val="0"/>
        <w:widowControl/>
        <w:kinsoku/>
        <w:wordWrap/>
        <w:overflowPunct/>
        <w:topLinePunct w:val="0"/>
        <w:autoSpaceDE/>
        <w:autoSpaceDN/>
        <w:bidi w:val="0"/>
        <w:adjustRightInd/>
        <w:snapToGrid/>
        <w:spacing w:line="580" w:lineRule="exact"/>
        <w:ind w:left="320" w:leftChars="100" w:firstLine="627" w:firstLineChars="196"/>
        <w:textAlignment w:val="auto"/>
        <w:outlineLvl w:val="9"/>
        <w:rPr>
          <w:rFonts w:hint="eastAsia" w:ascii="仿宋_GB2312" w:eastAsia="仿宋_GB2312"/>
          <w:sz w:val="32"/>
          <w:szCs w:val="32"/>
        </w:rPr>
      </w:pPr>
      <w:r>
        <w:rPr>
          <w:rFonts w:hint="eastAsia" w:ascii="仿宋_GB2312" w:eastAsia="仿宋_GB2312"/>
          <w:sz w:val="32"/>
          <w:szCs w:val="32"/>
        </w:rPr>
        <w:t>（一）机关运行经费支出情况说明</w:t>
      </w:r>
    </w:p>
    <w:p>
      <w:pPr>
        <w:keepNext w:val="0"/>
        <w:keepLines w:val="0"/>
        <w:pageBreakBefore w:val="0"/>
        <w:widowControl/>
        <w:kinsoku/>
        <w:wordWrap/>
        <w:overflowPunct/>
        <w:topLinePunct w:val="0"/>
        <w:autoSpaceDE/>
        <w:autoSpaceDN/>
        <w:bidi w:val="0"/>
        <w:adjustRightInd/>
        <w:snapToGrid/>
        <w:spacing w:line="580" w:lineRule="exact"/>
        <w:ind w:left="320" w:leftChars="100" w:firstLine="627" w:firstLineChars="196"/>
        <w:textAlignment w:val="auto"/>
        <w:outlineLvl w:val="9"/>
        <w:rPr>
          <w:rFonts w:hint="eastAsia" w:ascii="仿宋_GB2312" w:eastAsia="仿宋_GB2312"/>
          <w:sz w:val="32"/>
          <w:szCs w:val="32"/>
          <w:lang w:val="en-US" w:eastAsia="zh-CN"/>
        </w:rPr>
      </w:pPr>
      <w:r>
        <w:rPr>
          <w:rFonts w:hint="eastAsia" w:ascii="仿宋_GB2312" w:eastAsia="仿宋_GB2312"/>
          <w:sz w:val="32"/>
          <w:szCs w:val="32"/>
        </w:rPr>
        <w:t>2018年度，</w:t>
      </w:r>
      <w:r>
        <w:rPr>
          <w:rFonts w:hint="eastAsia" w:ascii="仿宋_GB2312" w:eastAsia="仿宋_GB2312"/>
          <w:sz w:val="32"/>
          <w:szCs w:val="32"/>
          <w:lang w:eastAsia="zh-CN"/>
        </w:rPr>
        <w:t>菏泽市第二人民医院</w:t>
      </w:r>
      <w:r>
        <w:rPr>
          <w:rFonts w:hint="eastAsia" w:ascii="仿宋_GB2312" w:eastAsia="仿宋_GB2312"/>
          <w:sz w:val="32"/>
          <w:szCs w:val="32"/>
        </w:rPr>
        <w:t>机关运行经费支出</w:t>
      </w:r>
      <w:r>
        <w:rPr>
          <w:rFonts w:hint="eastAsia" w:ascii="仿宋_GB2312" w:eastAsia="仿宋_GB2312"/>
          <w:sz w:val="32"/>
          <w:szCs w:val="32"/>
          <w:lang w:val="en-US" w:eastAsia="zh-CN"/>
        </w:rPr>
        <w:t>17265.78</w:t>
      </w:r>
      <w:r>
        <w:rPr>
          <w:rFonts w:hint="eastAsia" w:ascii="仿宋_GB2312" w:eastAsia="仿宋_GB2312"/>
          <w:sz w:val="32"/>
          <w:szCs w:val="32"/>
        </w:rPr>
        <w:t>万元，比2017年增长</w:t>
      </w:r>
      <w:r>
        <w:rPr>
          <w:rFonts w:hint="eastAsia" w:ascii="仿宋_GB2312" w:eastAsia="仿宋_GB2312"/>
          <w:sz w:val="32"/>
          <w:szCs w:val="32"/>
          <w:lang w:val="en-US" w:eastAsia="zh-CN"/>
        </w:rPr>
        <w:t>607.54</w:t>
      </w:r>
      <w:r>
        <w:rPr>
          <w:rFonts w:hint="eastAsia" w:ascii="仿宋_GB2312" w:eastAsia="仿宋_GB2312"/>
          <w:sz w:val="32"/>
          <w:szCs w:val="32"/>
        </w:rPr>
        <w:t>万元，增长</w:t>
      </w:r>
      <w:r>
        <w:rPr>
          <w:rFonts w:hint="eastAsia" w:ascii="仿宋_GB2312" w:eastAsia="仿宋_GB2312"/>
          <w:sz w:val="32"/>
          <w:szCs w:val="32"/>
          <w:lang w:val="en-US" w:eastAsia="zh-CN"/>
        </w:rPr>
        <w:t>3.65</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主要原因是</w:t>
      </w:r>
      <w:r>
        <w:rPr>
          <w:rFonts w:hint="eastAsia" w:ascii="仿宋_GB2312" w:eastAsia="仿宋_GB2312"/>
          <w:sz w:val="32"/>
          <w:szCs w:val="32"/>
          <w:lang w:eastAsia="zh-CN"/>
        </w:rPr>
        <w:t>：</w:t>
      </w:r>
      <w:r>
        <w:rPr>
          <w:rFonts w:hint="eastAsia" w:ascii="仿宋_GB2312" w:eastAsia="仿宋_GB2312"/>
          <w:sz w:val="32"/>
          <w:szCs w:val="32"/>
          <w:lang w:val="en-US" w:eastAsia="zh-CN"/>
        </w:rPr>
        <w:t>工资福利支出5965.63万元，较2017年增加1073.18万元，增幅为21.94%，工资福利支出主要是职工工资，社保缴费和公积金缴费支出，增长的原因是职工工资增长，社保和公积金缴费基数增加。商品和服务支出10929.07万元，较上年增加836.49万元，增幅为8.29%；对个人和家庭的补助支出371.08万元，较上年减少45.53万元，减幅为10.93%。</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313" w:beforeLines="100" w:line="480" w:lineRule="auto"/>
        <w:jc w:val="left"/>
        <w:textAlignment w:val="auto"/>
        <w:outlineLvl w:val="9"/>
      </w:pPr>
      <w:r>
        <w:drawing>
          <wp:inline distT="0" distB="0" distL="114300" distR="114300">
            <wp:extent cx="5057775" cy="2743200"/>
            <wp:effectExtent l="4445" t="4445" r="5080" b="14605"/>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numPr>
          <w:ilvl w:val="0"/>
          <w:numId w:val="1"/>
        </w:numPr>
        <w:spacing w:line="580" w:lineRule="exact"/>
        <w:ind w:firstLine="601"/>
        <w:rPr>
          <w:rFonts w:hint="eastAsia" w:ascii="楷体_GB2312" w:eastAsia="楷体_GB2312"/>
          <w:sz w:val="32"/>
          <w:szCs w:val="32"/>
        </w:rPr>
      </w:pPr>
      <w:r>
        <w:rPr>
          <w:rFonts w:hint="eastAsia" w:ascii="楷体_GB2312" w:eastAsia="楷体_GB2312"/>
          <w:sz w:val="32"/>
          <w:szCs w:val="32"/>
        </w:rPr>
        <w:t>政府采购支出情况说明</w:t>
      </w:r>
    </w:p>
    <w:p>
      <w:pPr>
        <w:keepNext w:val="0"/>
        <w:keepLines w:val="0"/>
        <w:pageBreakBefore w:val="0"/>
        <w:widowControl/>
        <w:kinsoku/>
        <w:wordWrap/>
        <w:overflowPunct/>
        <w:topLinePunct w:val="0"/>
        <w:autoSpaceDE/>
        <w:autoSpaceDN/>
        <w:bidi w:val="0"/>
        <w:adjustRightInd/>
        <w:snapToGrid/>
        <w:spacing w:line="580" w:lineRule="exact"/>
        <w:ind w:left="320" w:leftChars="100" w:firstLine="627" w:firstLineChars="196"/>
        <w:textAlignment w:val="auto"/>
        <w:outlineLvl w:val="9"/>
        <w:rPr>
          <w:rFonts w:hint="eastAsia" w:ascii="楷体_GB2312" w:eastAsia="楷体_GB2312"/>
          <w:sz w:val="32"/>
          <w:szCs w:val="32"/>
        </w:rPr>
      </w:pPr>
      <w:r>
        <w:rPr>
          <w:rFonts w:hint="eastAsia" w:ascii="仿宋_GB2312" w:eastAsia="仿宋_GB2312"/>
          <w:sz w:val="32"/>
          <w:szCs w:val="32"/>
          <w:lang w:val="en-US" w:eastAsia="zh-CN"/>
        </w:rPr>
        <w:t>2018年我院房屋建筑物构建支出2688.73万元，2017年房屋建筑物构建支出16706万元，2018年房屋构建增加的主要原因是我院门诊病房综合楼决算，转入固定资产。2018年通用设备购置支出16.91万元，2017年通用设备购置支出23.50万元，2018年较2017年通用设备购置费降低6.59万元，降幅为28.04%，我院门诊病房楼启用步入正轨，办公设备等配备基本完善，减少了通用设备的购置。2018年我院专用设备购置支出4151万元，2017年专用设备购置支出159万元，2018年专用设备购置支出的大幅增加，主要是是因为购置了磁共振1990万元，CT 2094万元。2018年家具用具购置支出9.5万元，2017年家居用具购置支出10.8万元，稍有降低。</w:t>
      </w:r>
    </w:p>
    <w:p>
      <w:pPr>
        <w:autoSpaceDE w:val="0"/>
        <w:autoSpaceDN w:val="0"/>
        <w:adjustRightInd w:val="0"/>
        <w:ind w:left="320" w:leftChars="100" w:firstLine="307" w:firstLineChars="96"/>
        <w:jc w:val="left"/>
        <w:rPr>
          <w:rFonts w:hint="eastAsia" w:ascii="楷体_GB2312" w:eastAsia="楷体_GB2312"/>
          <w:sz w:val="32"/>
          <w:szCs w:val="32"/>
        </w:rPr>
      </w:pPr>
    </w:p>
    <w:p>
      <w:pPr>
        <w:autoSpaceDE w:val="0"/>
        <w:autoSpaceDN w:val="0"/>
        <w:adjustRightInd w:val="0"/>
        <w:ind w:left="320" w:leftChars="100" w:firstLine="307" w:firstLineChars="96"/>
        <w:jc w:val="left"/>
        <w:rPr>
          <w:rFonts w:hint="eastAsia" w:ascii="楷体_GB2312" w:eastAsia="楷体_GB2312"/>
          <w:sz w:val="32"/>
          <w:szCs w:val="32"/>
          <w:highlight w:val="yellow"/>
        </w:rPr>
      </w:pPr>
      <w:r>
        <w:rPr>
          <w:rFonts w:hint="eastAsia" w:ascii="楷体_GB2312" w:eastAsia="楷体_GB2312"/>
          <w:sz w:val="32"/>
          <w:szCs w:val="32"/>
        </w:rPr>
        <w:t>（三）国有资产占用情况说明</w:t>
      </w:r>
    </w:p>
    <w:p>
      <w:pPr>
        <w:spacing w:line="580" w:lineRule="exact"/>
        <w:ind w:firstLine="600"/>
        <w:rPr>
          <w:rFonts w:hint="eastAsia" w:ascii="仿宋_GB2312" w:hAnsi="宋体" w:eastAsia="仿宋_GB2312" w:cs="Courier New"/>
          <w:sz w:val="32"/>
          <w:szCs w:val="32"/>
        </w:rPr>
      </w:pPr>
      <w:r>
        <w:rPr>
          <w:rFonts w:hint="default" w:ascii="仿宋_GB2312" w:hAnsi="宋体" w:eastAsia="仿宋_GB2312" w:cs="Courier New"/>
          <w:sz w:val="32"/>
          <w:szCs w:val="32"/>
          <w:lang w:val="en-US" w:eastAsia="zh-CN"/>
        </w:rPr>
        <w:t>截至201</w:t>
      </w:r>
      <w:r>
        <w:rPr>
          <w:rFonts w:hint="eastAsia" w:ascii="仿宋_GB2312" w:hAnsi="宋体" w:eastAsia="仿宋_GB2312" w:cs="Courier New"/>
          <w:sz w:val="32"/>
          <w:szCs w:val="32"/>
          <w:lang w:val="en-US" w:eastAsia="zh-CN"/>
        </w:rPr>
        <w:t>8</w:t>
      </w:r>
      <w:r>
        <w:rPr>
          <w:rFonts w:hint="default" w:ascii="仿宋_GB2312" w:hAnsi="宋体" w:eastAsia="仿宋_GB2312" w:cs="Courier New"/>
          <w:sz w:val="32"/>
          <w:szCs w:val="32"/>
          <w:lang w:val="en-US" w:eastAsia="zh-CN"/>
        </w:rPr>
        <w:t>年12月31日，本部门共有车辆</w:t>
      </w:r>
      <w:r>
        <w:rPr>
          <w:rFonts w:hint="eastAsia" w:ascii="仿宋_GB2312" w:hAnsi="宋体" w:eastAsia="仿宋_GB2312" w:cs="Courier New"/>
          <w:sz w:val="32"/>
          <w:szCs w:val="32"/>
          <w:lang w:val="en-US" w:eastAsia="zh-CN"/>
        </w:rPr>
        <w:t>9</w:t>
      </w:r>
      <w:r>
        <w:rPr>
          <w:rFonts w:hint="default" w:ascii="仿宋_GB2312" w:hAnsi="宋体" w:eastAsia="仿宋_GB2312" w:cs="Courier New"/>
          <w:sz w:val="32"/>
          <w:szCs w:val="32"/>
          <w:lang w:val="en-US" w:eastAsia="zh-CN"/>
        </w:rPr>
        <w:t>辆，均为一般公务用车。单位价值</w:t>
      </w:r>
      <w:r>
        <w:rPr>
          <w:rFonts w:hint="eastAsia" w:ascii="仿宋_GB2312" w:hAnsi="宋体" w:eastAsia="仿宋_GB2312" w:cs="Courier New"/>
          <w:sz w:val="32"/>
          <w:szCs w:val="32"/>
          <w:lang w:val="en-US" w:eastAsia="zh-CN"/>
        </w:rPr>
        <w:t>50</w:t>
      </w:r>
      <w:r>
        <w:rPr>
          <w:rFonts w:hint="default" w:ascii="仿宋_GB2312" w:hAnsi="宋体" w:eastAsia="仿宋_GB2312" w:cs="Courier New"/>
          <w:sz w:val="32"/>
          <w:szCs w:val="32"/>
          <w:lang w:val="en-US" w:eastAsia="zh-CN"/>
        </w:rPr>
        <w:t>万元以上的</w:t>
      </w:r>
      <w:r>
        <w:rPr>
          <w:rFonts w:hint="eastAsia" w:ascii="仿宋_GB2312" w:hAnsi="宋体" w:eastAsia="仿宋_GB2312" w:cs="Courier New"/>
          <w:sz w:val="32"/>
          <w:szCs w:val="32"/>
          <w:lang w:val="en-US" w:eastAsia="zh-CN"/>
        </w:rPr>
        <w:t>通用</w:t>
      </w:r>
      <w:r>
        <w:rPr>
          <w:rFonts w:hint="default" w:ascii="仿宋_GB2312" w:hAnsi="宋体" w:eastAsia="仿宋_GB2312" w:cs="Courier New"/>
          <w:sz w:val="32"/>
          <w:szCs w:val="32"/>
          <w:lang w:val="en-US" w:eastAsia="zh-CN"/>
        </w:rPr>
        <w:t>设备共</w:t>
      </w:r>
      <w:r>
        <w:rPr>
          <w:rFonts w:hint="eastAsia" w:ascii="仿宋_GB2312" w:hAnsi="宋体" w:eastAsia="仿宋_GB2312" w:cs="Courier New"/>
          <w:sz w:val="32"/>
          <w:szCs w:val="32"/>
          <w:lang w:val="en-US" w:eastAsia="zh-CN"/>
        </w:rPr>
        <w:t>2</w:t>
      </w:r>
      <w:r>
        <w:rPr>
          <w:rFonts w:hint="default" w:ascii="仿宋_GB2312" w:hAnsi="宋体" w:eastAsia="仿宋_GB2312" w:cs="Courier New"/>
          <w:sz w:val="32"/>
          <w:szCs w:val="32"/>
          <w:lang w:val="en-US" w:eastAsia="zh-CN"/>
        </w:rPr>
        <w:t>台</w:t>
      </w:r>
      <w:r>
        <w:rPr>
          <w:rFonts w:hint="eastAsia" w:ascii="仿宋_GB2312" w:hAnsi="宋体" w:eastAsia="仿宋_GB2312" w:cs="Courier New"/>
          <w:sz w:val="32"/>
          <w:szCs w:val="32"/>
          <w:lang w:val="en-US" w:eastAsia="zh-CN"/>
        </w:rPr>
        <w:t>，</w:t>
      </w:r>
      <w:r>
        <w:rPr>
          <w:rFonts w:hint="default" w:ascii="仿宋_GB2312" w:hAnsi="宋体" w:eastAsia="仿宋_GB2312" w:cs="Courier New"/>
          <w:sz w:val="32"/>
          <w:szCs w:val="32"/>
          <w:lang w:val="en-US" w:eastAsia="zh-CN"/>
        </w:rPr>
        <w:t>单位价值</w:t>
      </w:r>
      <w:r>
        <w:rPr>
          <w:rFonts w:hint="eastAsia" w:ascii="仿宋_GB2312" w:hAnsi="宋体" w:eastAsia="仿宋_GB2312" w:cs="Courier New"/>
          <w:sz w:val="32"/>
          <w:szCs w:val="32"/>
          <w:lang w:val="en-US" w:eastAsia="zh-CN"/>
        </w:rPr>
        <w:t>100</w:t>
      </w:r>
      <w:r>
        <w:rPr>
          <w:rFonts w:hint="default" w:ascii="仿宋_GB2312" w:hAnsi="宋体" w:eastAsia="仿宋_GB2312" w:cs="Courier New"/>
          <w:sz w:val="32"/>
          <w:szCs w:val="32"/>
          <w:lang w:val="en-US" w:eastAsia="zh-CN"/>
        </w:rPr>
        <w:t>万元以上的</w:t>
      </w:r>
      <w:r>
        <w:rPr>
          <w:rFonts w:hint="eastAsia" w:ascii="仿宋_GB2312" w:hAnsi="宋体" w:eastAsia="仿宋_GB2312" w:cs="Courier New"/>
          <w:sz w:val="32"/>
          <w:szCs w:val="32"/>
          <w:lang w:val="en-US" w:eastAsia="zh-CN"/>
        </w:rPr>
        <w:t>专用</w:t>
      </w:r>
      <w:r>
        <w:rPr>
          <w:rFonts w:hint="default" w:ascii="仿宋_GB2312" w:hAnsi="宋体" w:eastAsia="仿宋_GB2312" w:cs="Courier New"/>
          <w:sz w:val="32"/>
          <w:szCs w:val="32"/>
          <w:lang w:val="en-US" w:eastAsia="zh-CN"/>
        </w:rPr>
        <w:t>设备共</w:t>
      </w:r>
      <w:r>
        <w:rPr>
          <w:rFonts w:hint="eastAsia" w:ascii="仿宋_GB2312" w:hAnsi="宋体" w:eastAsia="仿宋_GB2312" w:cs="Courier New"/>
          <w:sz w:val="32"/>
          <w:szCs w:val="32"/>
          <w:lang w:val="en-US" w:eastAsia="zh-CN"/>
        </w:rPr>
        <w:t>13台。</w:t>
      </w:r>
    </w:p>
    <w:p>
      <w:pPr>
        <w:numPr>
          <w:ilvl w:val="0"/>
          <w:numId w:val="0"/>
        </w:numPr>
        <w:spacing w:line="580" w:lineRule="exact"/>
        <w:ind w:firstLine="640" w:firstLineChars="200"/>
        <w:rPr>
          <w:rFonts w:hint="eastAsia" w:ascii="楷体_GB2312" w:eastAsia="楷体_GB2312"/>
          <w:sz w:val="32"/>
          <w:szCs w:val="32"/>
        </w:rPr>
      </w:pPr>
      <w:r>
        <w:rPr>
          <w:rFonts w:hint="eastAsia" w:ascii="楷体_GB2312" w:eastAsia="楷体_GB2312"/>
          <w:sz w:val="32"/>
          <w:szCs w:val="32"/>
          <w:lang w:eastAsia="zh-CN"/>
        </w:rPr>
        <w:t>（四）</w:t>
      </w:r>
      <w:r>
        <w:rPr>
          <w:rFonts w:hint="eastAsia" w:ascii="楷体_GB2312" w:eastAsia="楷体_GB2312"/>
          <w:sz w:val="32"/>
          <w:szCs w:val="32"/>
        </w:rPr>
        <w:t>预算绩效管理工作开展情况说明</w:t>
      </w:r>
    </w:p>
    <w:p>
      <w:pPr>
        <w:spacing w:line="580" w:lineRule="exact"/>
        <w:ind w:firstLine="600"/>
        <w:rPr>
          <w:rFonts w:hint="eastAsia" w:ascii="仿宋_GB2312" w:hAnsi="宋体" w:eastAsia="仿宋_GB2312" w:cs="Courier New"/>
          <w:sz w:val="32"/>
          <w:szCs w:val="32"/>
          <w:lang w:val="en-US" w:eastAsia="zh-CN"/>
        </w:rPr>
      </w:pPr>
      <w:r>
        <w:rPr>
          <w:rFonts w:hint="eastAsia" w:ascii="仿宋_GB2312" w:eastAsia="仿宋_GB2312"/>
          <w:b w:val="0"/>
          <w:bCs/>
          <w:sz w:val="32"/>
          <w:szCs w:val="32"/>
          <w:lang w:val="en-US" w:eastAsia="zh-CN"/>
        </w:rPr>
        <w:t>2018年度</w:t>
      </w:r>
      <w:r>
        <w:rPr>
          <w:rFonts w:hint="eastAsia" w:ascii="仿宋_GB2312" w:eastAsia="仿宋_GB2312"/>
          <w:b w:val="0"/>
          <w:bCs/>
          <w:sz w:val="32"/>
          <w:szCs w:val="32"/>
        </w:rPr>
        <w:t>本部门无绩效自评项目和重点绩效评价项目</w:t>
      </w:r>
      <w:r>
        <w:rPr>
          <w:rFonts w:hint="eastAsia" w:ascii="仿宋_GB2312" w:hAnsi="宋体" w:eastAsia="仿宋_GB2312" w:cs="Courier New"/>
          <w:sz w:val="32"/>
          <w:szCs w:val="32"/>
          <w:lang w:val="en-US" w:eastAsia="zh-CN"/>
        </w:rPr>
        <w:t>。</w:t>
      </w:r>
    </w:p>
    <w:p>
      <w:pPr>
        <w:rPr>
          <w:rFonts w:hint="eastAsia" w:ascii="黑体" w:eastAsia="黑体"/>
          <w:sz w:val="52"/>
          <w:szCs w:val="52"/>
        </w:rPr>
      </w:pPr>
    </w:p>
    <w:p>
      <w:pPr>
        <w:rPr>
          <w:rFonts w:hint="eastAsia" w:ascii="黑体" w:eastAsia="黑体"/>
          <w:sz w:val="52"/>
          <w:szCs w:val="52"/>
        </w:rPr>
      </w:pPr>
    </w:p>
    <w:p>
      <w:pPr>
        <w:ind w:left="0" w:leftChars="0" w:firstLine="0" w:firstLineChars="0"/>
        <w:rPr>
          <w:rFonts w:hint="eastAsia" w:ascii="黑体" w:eastAsia="黑体"/>
          <w:sz w:val="52"/>
          <w:szCs w:val="52"/>
        </w:rPr>
      </w:pPr>
    </w:p>
    <w:p>
      <w:pPr>
        <w:rPr>
          <w:rFonts w:hint="eastAsia" w:ascii="黑体" w:eastAsia="黑体"/>
          <w:sz w:val="52"/>
          <w:szCs w:val="52"/>
        </w:rPr>
      </w:pPr>
    </w:p>
    <w:p>
      <w:pPr>
        <w:rPr>
          <w:rFonts w:hint="eastAsia" w:ascii="黑体" w:eastAsia="黑体"/>
          <w:sz w:val="52"/>
          <w:szCs w:val="52"/>
        </w:rPr>
      </w:pPr>
    </w:p>
    <w:p>
      <w:pPr>
        <w:rPr>
          <w:rFonts w:hint="eastAsia" w:ascii="黑体" w:eastAsia="黑体"/>
          <w:sz w:val="52"/>
          <w:szCs w:val="52"/>
        </w:rPr>
      </w:pPr>
    </w:p>
    <w:p>
      <w:pPr>
        <w:rPr>
          <w:rFonts w:hint="eastAsia" w:ascii="黑体" w:eastAsia="黑体"/>
          <w:sz w:val="52"/>
          <w:szCs w:val="52"/>
        </w:rPr>
      </w:pPr>
      <w:r>
        <w:rPr>
          <w:rFonts w:hint="eastAsia" w:ascii="黑体" w:eastAsia="黑体"/>
          <w:sz w:val="52"/>
          <w:szCs w:val="52"/>
        </w:rPr>
        <w:t>第四部分</w:t>
      </w:r>
    </w:p>
    <w:p>
      <w:pPr>
        <w:jc w:val="center"/>
        <w:rPr>
          <w:rFonts w:hint="eastAsia" w:ascii="黑体" w:eastAsia="黑体"/>
          <w:sz w:val="52"/>
          <w:szCs w:val="52"/>
        </w:rPr>
      </w:pPr>
      <w:r>
        <w:rPr>
          <w:rFonts w:hint="eastAsia" w:ascii="黑体" w:eastAsia="黑体"/>
          <w:sz w:val="52"/>
          <w:szCs w:val="52"/>
        </w:rPr>
        <w:t>名词解释</w:t>
      </w:r>
    </w:p>
    <w:p>
      <w:pPr>
        <w:spacing w:line="580" w:lineRule="exact"/>
        <w:ind w:firstLine="600"/>
        <w:rPr>
          <w:rFonts w:eastAsia="仿宋_GB2312"/>
          <w:sz w:val="32"/>
          <w:szCs w:val="32"/>
        </w:rPr>
      </w:pPr>
      <w:r>
        <w:rPr>
          <w:rFonts w:hint="eastAsia" w:ascii="黑体" w:hAnsi="黑体" w:eastAsia="黑体"/>
          <w:color w:val="000000"/>
          <w:sz w:val="32"/>
          <w:szCs w:val="32"/>
        </w:rPr>
        <w:t>一、财政拨款收入：</w:t>
      </w:r>
      <w:r>
        <w:rPr>
          <w:rFonts w:hint="eastAsia" w:ascii="仿宋_GB2312" w:eastAsia="仿宋_GB2312"/>
          <w:sz w:val="32"/>
          <w:szCs w:val="32"/>
        </w:rPr>
        <w:t>指单位本年度从同级财政部门取得的财政拨款。按现行管理制度，部门决算中反映的财政拨款包括一般公共预算财政拨款和政府性基金财政拨款。</w:t>
      </w:r>
    </w:p>
    <w:p>
      <w:pPr>
        <w:spacing w:line="580" w:lineRule="exact"/>
        <w:ind w:firstLine="640" w:firstLineChars="200"/>
        <w:rPr>
          <w:rFonts w:hint="eastAsia" w:ascii="仿宋_GB2312" w:hAnsi="仿宋" w:eastAsia="仿宋_GB2312"/>
          <w:sz w:val="32"/>
          <w:szCs w:val="32"/>
        </w:rPr>
      </w:pPr>
      <w:r>
        <w:rPr>
          <w:rFonts w:hint="eastAsia" w:ascii="黑体" w:hAnsi="黑体" w:eastAsia="黑体"/>
          <w:sz w:val="32"/>
          <w:szCs w:val="32"/>
        </w:rPr>
        <w:t>二、上级补助收入：</w:t>
      </w:r>
      <w:r>
        <w:rPr>
          <w:rFonts w:hint="eastAsia" w:ascii="仿宋_GB2312" w:hAnsi="仿宋" w:eastAsia="仿宋_GB2312"/>
          <w:sz w:val="32"/>
          <w:szCs w:val="32"/>
        </w:rPr>
        <w:t>指事业单位从主管部门和上级单位取得的非财政补助收入。</w:t>
      </w:r>
    </w:p>
    <w:p>
      <w:pPr>
        <w:spacing w:line="580" w:lineRule="exact"/>
        <w:ind w:firstLine="600"/>
        <w:rPr>
          <w:rFonts w:ascii="仿宋_GB2312" w:hAnsi="仿宋" w:eastAsia="仿宋_GB2312"/>
          <w:sz w:val="32"/>
          <w:szCs w:val="32"/>
        </w:rPr>
      </w:pPr>
      <w:r>
        <w:rPr>
          <w:rFonts w:hint="eastAsia" w:ascii="黑体" w:hAnsi="黑体" w:eastAsia="黑体"/>
          <w:sz w:val="32"/>
          <w:szCs w:val="32"/>
        </w:rPr>
        <w:t>三、事业收入：</w:t>
      </w:r>
      <w:r>
        <w:rPr>
          <w:rFonts w:hint="eastAsia" w:ascii="仿宋_GB2312" w:hAnsi="仿宋" w:eastAsia="仿宋_GB2312"/>
          <w:sz w:val="32"/>
          <w:szCs w:val="32"/>
        </w:rPr>
        <w:t>指事业单位开展专业业务活动及其辅助活动取得的收入。包括事业单位收到的财政专户实际核拨的教育收费等。</w:t>
      </w:r>
    </w:p>
    <w:p>
      <w:pPr>
        <w:spacing w:line="580" w:lineRule="exact"/>
        <w:ind w:firstLine="600"/>
        <w:rPr>
          <w:rFonts w:hint="eastAsia" w:ascii="仿宋_GB2312" w:eastAsia="仿宋_GB2312"/>
          <w:sz w:val="32"/>
          <w:szCs w:val="32"/>
        </w:rPr>
      </w:pPr>
      <w:r>
        <w:rPr>
          <w:rFonts w:hint="eastAsia" w:ascii="黑体" w:hAnsi="黑体" w:eastAsia="黑体"/>
          <w:sz w:val="32"/>
          <w:szCs w:val="32"/>
        </w:rPr>
        <w:t>四、经营收入：</w:t>
      </w:r>
      <w:r>
        <w:rPr>
          <w:rFonts w:hint="eastAsia" w:ascii="仿宋_GB2312" w:hAnsi="仿宋" w:eastAsia="仿宋_GB2312"/>
          <w:sz w:val="32"/>
          <w:szCs w:val="32"/>
        </w:rPr>
        <w:t>指事业单位在专业业务活动及其辅助活动之外开展非独立核算经营活动取得的收入。</w:t>
      </w:r>
    </w:p>
    <w:p>
      <w:pPr>
        <w:spacing w:line="580" w:lineRule="exact"/>
        <w:ind w:firstLine="640" w:firstLineChars="200"/>
        <w:rPr>
          <w:rFonts w:hint="eastAsia" w:ascii="仿宋_GB2312" w:hAnsi="仿宋" w:eastAsia="仿宋_GB2312"/>
          <w:sz w:val="32"/>
          <w:szCs w:val="32"/>
        </w:rPr>
      </w:pPr>
      <w:r>
        <w:rPr>
          <w:rFonts w:hint="eastAsia" w:ascii="黑体" w:hAnsi="黑体" w:eastAsia="黑体"/>
          <w:sz w:val="32"/>
          <w:szCs w:val="32"/>
        </w:rPr>
        <w:t>五、附属单位上缴收入：</w:t>
      </w:r>
      <w:r>
        <w:rPr>
          <w:rFonts w:hint="eastAsia" w:ascii="仿宋_GB2312" w:hAnsi="仿宋" w:eastAsia="仿宋_GB2312"/>
          <w:sz w:val="32"/>
          <w:szCs w:val="32"/>
        </w:rPr>
        <w:t>指事业单位附属独立核算单位按照有关规定上缴的收入。</w:t>
      </w:r>
    </w:p>
    <w:p>
      <w:pPr>
        <w:spacing w:line="580" w:lineRule="exact"/>
        <w:ind w:firstLine="640" w:firstLineChars="200"/>
        <w:rPr>
          <w:rFonts w:hint="eastAsia" w:ascii="仿宋_GB2312" w:hAnsi="仿宋" w:eastAsia="仿宋_GB2312"/>
          <w:sz w:val="32"/>
          <w:szCs w:val="32"/>
        </w:rPr>
      </w:pPr>
      <w:r>
        <w:rPr>
          <w:rFonts w:hint="eastAsia" w:ascii="黑体" w:hAnsi="黑体" w:eastAsia="黑体"/>
          <w:sz w:val="32"/>
          <w:szCs w:val="32"/>
        </w:rPr>
        <w:t>六、其他收入：</w:t>
      </w:r>
      <w:r>
        <w:rPr>
          <w:rFonts w:hint="eastAsia" w:ascii="仿宋_GB2312" w:hAnsi="仿宋" w:eastAsia="仿宋_GB2312"/>
          <w:sz w:val="32"/>
          <w:szCs w:val="32"/>
        </w:rPr>
        <w:t>指单位取得的除上述“</w:t>
      </w:r>
      <w:r>
        <w:rPr>
          <w:rFonts w:hint="eastAsia" w:eastAsia="仿宋_GB2312"/>
          <w:sz w:val="32"/>
          <w:szCs w:val="32"/>
        </w:rPr>
        <w:t>财政拨款收入</w:t>
      </w:r>
      <w:r>
        <w:rPr>
          <w:rFonts w:hint="eastAsia" w:ascii="仿宋_GB2312" w:hAnsi="仿宋" w:eastAsia="仿宋_GB2312"/>
          <w:sz w:val="32"/>
          <w:szCs w:val="32"/>
        </w:rPr>
        <w:t>”、“上级补助收入”、“事业收入”、“经营收入”、“附属单位上缴收入”等以外的各项收入。</w:t>
      </w:r>
    </w:p>
    <w:p>
      <w:pPr>
        <w:spacing w:line="580" w:lineRule="exact"/>
        <w:ind w:firstLine="600"/>
        <w:rPr>
          <w:rFonts w:hint="eastAsia" w:ascii="仿宋_GB2312" w:eastAsia="仿宋_GB2312"/>
          <w:sz w:val="32"/>
          <w:szCs w:val="32"/>
        </w:rPr>
      </w:pPr>
      <w:r>
        <w:rPr>
          <w:rFonts w:hint="eastAsia" w:ascii="黑体" w:hAnsi="黑体" w:eastAsia="黑体"/>
          <w:sz w:val="32"/>
          <w:szCs w:val="32"/>
        </w:rPr>
        <w:t>七、用事业基金弥补收支差额：</w:t>
      </w:r>
      <w:r>
        <w:rPr>
          <w:rFonts w:hint="eastAsia" w:ascii="仿宋_GB2312" w:eastAsia="仿宋_GB2312"/>
          <w:sz w:val="32"/>
          <w:szCs w:val="32"/>
        </w:rPr>
        <w:t>指事业单位在用本年的“财政拨款收入”“事业收入”“经营收入”“其他收入”等不足以安排本年支出的情况下，使用以前年度积累的事业基金（事业单位当年收支相抵后按国家规定提取、用于弥补以后年度收支差额的基金）弥补本年度收支缺口的资金。</w:t>
      </w:r>
    </w:p>
    <w:p>
      <w:pPr>
        <w:spacing w:line="580" w:lineRule="exact"/>
        <w:ind w:firstLine="600"/>
        <w:rPr>
          <w:rFonts w:hint="eastAsia" w:ascii="仿宋_GB2312" w:eastAsia="仿宋_GB2312"/>
          <w:sz w:val="32"/>
          <w:szCs w:val="32"/>
        </w:rPr>
      </w:pPr>
      <w:r>
        <w:rPr>
          <w:rFonts w:hint="eastAsia" w:ascii="黑体" w:hAnsi="黑体" w:eastAsia="黑体"/>
          <w:sz w:val="32"/>
          <w:szCs w:val="32"/>
        </w:rPr>
        <w:t>八、年初结转和结余：</w:t>
      </w:r>
      <w:r>
        <w:rPr>
          <w:rFonts w:hint="eastAsia" w:ascii="仿宋_GB2312" w:eastAsia="仿宋_GB2312"/>
          <w:sz w:val="32"/>
          <w:szCs w:val="32"/>
        </w:rPr>
        <w:t>指以前年度尚未完成、结转到本年仍按原规定用途继续使用的资金，或项目已完成等产生的结余资金。</w:t>
      </w:r>
    </w:p>
    <w:p>
      <w:pPr>
        <w:spacing w:line="580" w:lineRule="exact"/>
        <w:ind w:firstLine="640" w:firstLineChars="200"/>
        <w:rPr>
          <w:rFonts w:hint="eastAsia" w:ascii="仿宋_GB2312" w:hAnsi="仿宋" w:eastAsia="仿宋_GB2312"/>
          <w:sz w:val="32"/>
          <w:szCs w:val="32"/>
        </w:rPr>
      </w:pPr>
      <w:r>
        <w:rPr>
          <w:rFonts w:hint="eastAsia" w:ascii="黑体" w:hAnsi="黑体" w:eastAsia="黑体"/>
          <w:sz w:val="32"/>
          <w:szCs w:val="32"/>
        </w:rPr>
        <w:t>九、结余分配：</w:t>
      </w:r>
      <w:r>
        <w:rPr>
          <w:rFonts w:hint="eastAsia" w:ascii="仿宋_GB2312" w:hAnsi="仿宋" w:eastAsia="仿宋_GB2312"/>
          <w:sz w:val="32"/>
          <w:szCs w:val="32"/>
        </w:rPr>
        <w:t>指事业单位按照《事业单位会计制度》的规定从非财政补助结余中分配的事业基金和职工福利基金等。</w:t>
      </w:r>
    </w:p>
    <w:p>
      <w:pPr>
        <w:spacing w:line="580" w:lineRule="exact"/>
        <w:ind w:firstLine="640" w:firstLineChars="200"/>
        <w:rPr>
          <w:rFonts w:hint="eastAsia" w:ascii="仿宋_GB2312" w:hAnsi="仿宋" w:eastAsia="仿宋_GB2312"/>
          <w:sz w:val="32"/>
          <w:szCs w:val="32"/>
        </w:rPr>
      </w:pPr>
      <w:r>
        <w:rPr>
          <w:rFonts w:hint="eastAsia" w:ascii="黑体" w:hAnsi="黑体" w:eastAsia="黑体"/>
          <w:sz w:val="32"/>
          <w:szCs w:val="32"/>
        </w:rPr>
        <w:t>十、年末结转和结余：</w:t>
      </w:r>
      <w:r>
        <w:rPr>
          <w:rFonts w:hint="eastAsia" w:ascii="仿宋_GB2312" w:hAnsi="仿宋" w:eastAsia="仿宋_GB2312"/>
          <w:sz w:val="32"/>
          <w:szCs w:val="32"/>
        </w:rPr>
        <w:t>指单位按照有关规定结转到下年继续使用的资金，或项目已完成等产生的结余资金。</w:t>
      </w:r>
    </w:p>
    <w:p>
      <w:pPr>
        <w:spacing w:line="580" w:lineRule="exact"/>
        <w:ind w:firstLine="600"/>
        <w:rPr>
          <w:rFonts w:hint="eastAsia" w:ascii="仿宋_GB2312" w:eastAsia="仿宋_GB2312"/>
          <w:sz w:val="32"/>
          <w:szCs w:val="32"/>
        </w:rPr>
      </w:pPr>
      <w:r>
        <w:rPr>
          <w:rFonts w:hint="eastAsia" w:ascii="黑体" w:hAnsi="黑体" w:eastAsia="黑体"/>
          <w:sz w:val="32"/>
          <w:szCs w:val="32"/>
        </w:rPr>
        <w:t>十一、基本支出：</w:t>
      </w:r>
      <w:r>
        <w:rPr>
          <w:rFonts w:hint="eastAsia" w:ascii="仿宋_GB2312" w:eastAsia="仿宋_GB2312"/>
          <w:sz w:val="32"/>
          <w:szCs w:val="32"/>
        </w:rPr>
        <w:t>指单位为保障其机构正常运转、完成日常工作任务而发生的各项支出。</w:t>
      </w:r>
    </w:p>
    <w:p>
      <w:pPr>
        <w:spacing w:line="580" w:lineRule="exact"/>
        <w:ind w:firstLine="600"/>
        <w:rPr>
          <w:rFonts w:hint="eastAsia" w:ascii="仿宋_GB2312" w:eastAsia="仿宋_GB2312"/>
          <w:sz w:val="32"/>
          <w:szCs w:val="32"/>
        </w:rPr>
      </w:pPr>
      <w:r>
        <w:rPr>
          <w:rFonts w:hint="eastAsia" w:ascii="黑体" w:hAnsi="黑体" w:eastAsia="黑体"/>
          <w:sz w:val="32"/>
          <w:szCs w:val="32"/>
        </w:rPr>
        <w:t>十二、项目支出：</w:t>
      </w:r>
      <w:r>
        <w:rPr>
          <w:rFonts w:hint="eastAsia" w:ascii="仿宋_GB2312" w:eastAsia="仿宋_GB2312"/>
          <w:sz w:val="32"/>
          <w:szCs w:val="32"/>
        </w:rPr>
        <w:t>指单位在基本支出之外为完成特定的工作任务或事业发展目标所发生的支出。</w:t>
      </w:r>
    </w:p>
    <w:p>
      <w:pPr>
        <w:spacing w:line="58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rPr>
        <w:t>十三、经营支出：</w:t>
      </w:r>
      <w:r>
        <w:rPr>
          <w:rFonts w:hint="eastAsia" w:ascii="仿宋_GB2312" w:eastAsia="仿宋_GB2312"/>
          <w:sz w:val="32"/>
          <w:szCs w:val="32"/>
        </w:rPr>
        <w:t>指事业单位在专业业务活动及其辅助活动之外开展非独立核算经营活动发生的支出。</w:t>
      </w:r>
    </w:p>
    <w:p>
      <w:pPr>
        <w:spacing w:line="580" w:lineRule="exact"/>
        <w:ind w:firstLine="600"/>
        <w:rPr>
          <w:rFonts w:hint="eastAsia" w:ascii="仿宋_GB2312" w:eastAsia="仿宋_GB2312"/>
          <w:sz w:val="32"/>
          <w:szCs w:val="32"/>
        </w:rPr>
      </w:pPr>
      <w:r>
        <w:rPr>
          <w:rFonts w:hint="eastAsia" w:ascii="黑体" w:hAnsi="黑体" w:eastAsia="黑体"/>
          <w:sz w:val="32"/>
          <w:szCs w:val="32"/>
        </w:rPr>
        <w:t>十四、“三公”经费：</w:t>
      </w:r>
      <w:r>
        <w:rPr>
          <w:rFonts w:hint="eastAsia" w:ascii="仿宋_GB2312" w:eastAsia="仿宋_GB2312"/>
          <w:sz w:val="32"/>
          <w:szCs w:val="32"/>
        </w:rPr>
        <w:t>纳入省级财政预决算管理的“三公”经费，是指省级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费（含车辆购置税）及按规定保留的公务用车燃料费、维修费、过路过桥费、保险费等支出；公务接待费反映单位按规定开支的各类公务接待（含外宾接待）支出。</w:t>
      </w:r>
    </w:p>
    <w:p>
      <w:pPr>
        <w:spacing w:line="580" w:lineRule="exact"/>
        <w:ind w:firstLine="640" w:firstLineChars="200"/>
        <w:rPr>
          <w:rFonts w:hint="eastAsia" w:ascii="仿宋_GB2312" w:eastAsia="仿宋_GB2312"/>
          <w:sz w:val="32"/>
          <w:szCs w:val="32"/>
        </w:rPr>
      </w:pPr>
      <w:r>
        <w:rPr>
          <w:rFonts w:hint="eastAsia" w:ascii="黑体" w:hAnsi="黑体" w:eastAsia="黑体"/>
          <w:color w:val="000000"/>
          <w:sz w:val="32"/>
          <w:szCs w:val="32"/>
        </w:rPr>
        <w:t>十五、机关运行经费</w:t>
      </w:r>
      <w:r>
        <w:rPr>
          <w:rFonts w:hint="eastAsia" w:ascii="仿宋_GB2312" w:eastAsia="仿宋_GB2312"/>
          <w:sz w:val="32"/>
          <w:szCs w:val="32"/>
        </w:rPr>
        <w:t>：为保障行政单位(含参照公务员法管理的事业单位)运行用于购买货物和服务的各项资金，包括办公费、印刷费、咨询费、手续费、水费、电费、邮电费、取暖费、物业管理费、差旅费、因公出国（境）费、维修（护）费、租赁费、会议费、培训费、公务接待费、专用材料费、劳务费、委托业务费、工会经费、福利费、公务用车运行维护费以及其他费用等。</w:t>
      </w:r>
    </w:p>
    <w:p>
      <w:pPr>
        <w:spacing w:line="580" w:lineRule="exact"/>
        <w:ind w:firstLine="600"/>
        <w:rPr>
          <w:rFonts w:hint="eastAsia" w:ascii="仿宋_GB2312" w:eastAsia="仿宋_GB2312"/>
          <w:sz w:val="32"/>
          <w:szCs w:val="32"/>
        </w:rPr>
      </w:pPr>
      <w:r>
        <w:rPr>
          <w:rFonts w:hint="eastAsia" w:ascii="黑体" w:hAnsi="黑体" w:eastAsia="黑体"/>
          <w:color w:val="000000"/>
          <w:sz w:val="32"/>
          <w:szCs w:val="32"/>
        </w:rPr>
        <w:t>十六、一般公共服务（类）财政事务（款）行政运行（项）</w:t>
      </w:r>
      <w:r>
        <w:rPr>
          <w:rFonts w:hint="eastAsia" w:ascii="仿宋_GB2312" w:eastAsia="仿宋_GB2312"/>
          <w:sz w:val="32"/>
          <w:szCs w:val="32"/>
        </w:rPr>
        <w:t>：反映xx部门行政单位（包括实行公务员管理的事业单位）的基本支出。</w:t>
      </w:r>
    </w:p>
    <w:p>
      <w:pPr>
        <w:spacing w:line="580" w:lineRule="exact"/>
        <w:ind w:firstLine="600"/>
        <w:rPr>
          <w:rFonts w:hint="eastAsia" w:ascii="仿宋_GB2312" w:eastAsia="仿宋_GB2312"/>
          <w:sz w:val="32"/>
          <w:szCs w:val="32"/>
        </w:rPr>
      </w:pPr>
      <w:r>
        <w:rPr>
          <w:rFonts w:hint="eastAsia" w:ascii="黑体" w:hAnsi="黑体" w:eastAsia="黑体"/>
          <w:color w:val="000000"/>
          <w:sz w:val="32"/>
          <w:szCs w:val="32"/>
        </w:rPr>
        <w:t>十七、一般公共服务（类）财政事务（款）一般行政管理事务（项）</w:t>
      </w:r>
      <w:r>
        <w:rPr>
          <w:rFonts w:hint="eastAsia" w:ascii="仿宋_GB2312" w:eastAsia="仿宋_GB2312"/>
          <w:sz w:val="32"/>
          <w:szCs w:val="32"/>
        </w:rPr>
        <w:t>：反映xx部门行政单位（包括实行公务员管理的事业单位）未单独设置项级科目的其他项目支出。</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150" w:beforeAutospacing="0" w:after="150" w:afterAutospacing="0" w:line="360" w:lineRule="auto"/>
        <w:ind w:right="0" w:rightChars="0" w:firstLine="640" w:firstLineChars="200"/>
        <w:jc w:val="both"/>
        <w:textAlignment w:val="auto"/>
        <w:rPr>
          <w:rFonts w:hint="eastAsia" w:ascii="仿宋_GB2312" w:hAnsi="宋体" w:eastAsia="仿宋_GB2312" w:cs="仿宋_GB2312"/>
          <w:kern w:val="0"/>
          <w:sz w:val="36"/>
          <w:szCs w:val="36"/>
          <w:lang w:val="en-US" w:eastAsia="zh-CN" w:bidi="ar"/>
        </w:rPr>
      </w:pPr>
      <w:r>
        <w:rPr>
          <w:rFonts w:hint="eastAsia" w:ascii="黑体" w:hAnsi="黑体" w:eastAsia="黑体" w:cs="仿宋"/>
          <w:color w:val="000000"/>
          <w:kern w:val="2"/>
          <w:sz w:val="32"/>
          <w:szCs w:val="32"/>
          <w:lang w:val="en-US" w:eastAsia="zh-CN" w:bidi="ar-SA"/>
        </w:rPr>
        <w:t>十八、一般公共预算：</w:t>
      </w:r>
      <w:r>
        <w:rPr>
          <w:rFonts w:hint="eastAsia" w:ascii="仿宋_GB2312" w:hAnsi="仿宋" w:eastAsia="仿宋_GB2312" w:cs="仿宋"/>
          <w:color w:val="000000"/>
          <w:kern w:val="2"/>
          <w:sz w:val="32"/>
          <w:szCs w:val="32"/>
          <w:lang w:val="en-US" w:eastAsia="zh-CN" w:bidi="ar-SA"/>
        </w:rPr>
        <w:t>是指是对以税收为主体的财政收入，安排用于保障和改善民生、推动经济社会发展、维护国家安全、维持国家机构正常运转等方面的收支预算。透过一般公共预算，可以使人们了解政府活动的范围和方向，也可以体现政府政策意图和目标。</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150" w:beforeAutospacing="0" w:after="150" w:afterAutospacing="0" w:line="360" w:lineRule="auto"/>
        <w:ind w:right="0" w:rightChars="0" w:firstLine="640" w:firstLineChars="200"/>
        <w:jc w:val="both"/>
        <w:textAlignment w:val="auto"/>
        <w:rPr>
          <w:rFonts w:hint="eastAsia" w:ascii="仿宋_GB2312" w:hAnsi="仿宋" w:eastAsia="仿宋_GB2312" w:cs="仿宋"/>
          <w:color w:val="000000"/>
          <w:kern w:val="2"/>
          <w:sz w:val="32"/>
          <w:szCs w:val="32"/>
          <w:lang w:val="en-US" w:eastAsia="zh-CN" w:bidi="ar-SA"/>
        </w:rPr>
      </w:pPr>
      <w:r>
        <w:rPr>
          <w:rFonts w:hint="eastAsia" w:ascii="黑体" w:hAnsi="黑体" w:eastAsia="黑体" w:cs="仿宋"/>
          <w:color w:val="000000"/>
          <w:kern w:val="2"/>
          <w:sz w:val="32"/>
          <w:szCs w:val="32"/>
          <w:lang w:val="en-US" w:eastAsia="zh-CN" w:bidi="ar-SA"/>
        </w:rPr>
        <w:t>十九、政府性基金预算：</w:t>
      </w:r>
      <w:r>
        <w:rPr>
          <w:rFonts w:hint="eastAsia" w:ascii="仿宋_GB2312" w:hAnsi="仿宋" w:eastAsia="仿宋_GB2312" w:cs="仿宋"/>
          <w:color w:val="000000"/>
          <w:kern w:val="2"/>
          <w:sz w:val="32"/>
          <w:szCs w:val="32"/>
          <w:lang w:val="en-US" w:eastAsia="zh-CN" w:bidi="ar-SA"/>
        </w:rPr>
        <w:t>是指国家对依照法律、行政法规的规定在一定期限内向特定对象征收、收取或者以出让土地、发行彩票等其他方式筹集的资金，专项用于特定公共事业发展的收支预算。其收入归属政府，不归属任何部门。</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150" w:beforeAutospacing="0" w:after="150" w:afterAutospacing="0" w:line="360" w:lineRule="auto"/>
        <w:ind w:right="0" w:rightChars="0" w:firstLine="640" w:firstLineChars="200"/>
        <w:jc w:val="both"/>
        <w:textAlignment w:val="auto"/>
        <w:rPr>
          <w:rFonts w:hint="eastAsia" w:ascii="仿宋_GB2312" w:hAnsi="仿宋" w:eastAsia="仿宋_GB2312" w:cs="仿宋"/>
          <w:color w:val="000000"/>
          <w:kern w:val="2"/>
          <w:sz w:val="32"/>
          <w:szCs w:val="32"/>
          <w:lang w:val="en-US" w:eastAsia="zh-CN" w:bidi="ar-SA"/>
        </w:rPr>
      </w:pPr>
      <w:r>
        <w:rPr>
          <w:rFonts w:hint="eastAsia" w:ascii="黑体" w:hAnsi="黑体" w:eastAsia="黑体" w:cs="仿宋"/>
          <w:color w:val="000000"/>
          <w:kern w:val="2"/>
          <w:sz w:val="32"/>
          <w:szCs w:val="32"/>
          <w:lang w:val="en-US" w:eastAsia="zh-CN" w:bidi="ar-SA"/>
        </w:rPr>
        <w:t>二十、一般公共预算支出（原公共财政预算支出）</w:t>
      </w:r>
      <w:r>
        <w:rPr>
          <w:rFonts w:hint="eastAsia" w:ascii="仿宋_GB2312" w:hAnsi="仿宋" w:eastAsia="仿宋_GB2312" w:cs="仿宋"/>
          <w:color w:val="000000"/>
          <w:kern w:val="2"/>
          <w:sz w:val="32"/>
          <w:szCs w:val="32"/>
          <w:lang w:val="en-US" w:eastAsia="zh-CN" w:bidi="ar-SA"/>
        </w:rPr>
        <w:t>：也即通俗所称财政支出，指政府对上级转移性收入、本级一般公共预算收入等有计划的分配和使用而形成的支出。</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150" w:beforeAutospacing="0" w:after="150" w:afterAutospacing="0" w:line="360" w:lineRule="auto"/>
        <w:ind w:right="0" w:rightChars="0" w:firstLine="640" w:firstLineChars="200"/>
        <w:jc w:val="both"/>
        <w:textAlignment w:val="auto"/>
        <w:rPr>
          <w:rFonts w:hint="eastAsia" w:ascii="仿宋_GB2312" w:hAnsi="仿宋" w:eastAsia="仿宋_GB2312" w:cs="仿宋"/>
          <w:color w:val="000000"/>
          <w:kern w:val="2"/>
          <w:sz w:val="32"/>
          <w:szCs w:val="32"/>
          <w:lang w:val="en-US" w:eastAsia="zh-CN" w:bidi="ar-SA"/>
        </w:rPr>
      </w:pPr>
      <w:r>
        <w:rPr>
          <w:rFonts w:hint="eastAsia" w:ascii="黑体" w:hAnsi="黑体" w:eastAsia="黑体" w:cs="仿宋"/>
          <w:color w:val="000000"/>
          <w:kern w:val="2"/>
          <w:sz w:val="32"/>
          <w:szCs w:val="32"/>
          <w:lang w:val="en-US" w:eastAsia="zh-CN" w:bidi="ar-SA"/>
        </w:rPr>
        <w:t>二十一、政府性基金支出</w:t>
      </w:r>
      <w:r>
        <w:rPr>
          <w:rFonts w:hint="eastAsia" w:ascii="仿宋_GB2312" w:hAnsi="仿宋" w:eastAsia="仿宋_GB2312" w:cs="仿宋"/>
          <w:color w:val="000000"/>
          <w:kern w:val="2"/>
          <w:sz w:val="32"/>
          <w:szCs w:val="32"/>
          <w:lang w:val="en-US" w:eastAsia="zh-CN" w:bidi="ar-SA"/>
        </w:rPr>
        <w:t>：是指政府用筹集的政府性基金收入安排的支出。</w:t>
      </w:r>
    </w:p>
    <w:p>
      <w:pPr>
        <w:pStyle w:val="5"/>
        <w:keepNext w:val="0"/>
        <w:keepLines w:val="0"/>
        <w:widowControl/>
        <w:suppressLineNumbers w:val="0"/>
        <w:ind w:firstLine="720" w:firstLineChars="200"/>
        <w:rPr>
          <w:color w:val="000000"/>
          <w:sz w:val="36"/>
          <w:szCs w:val="36"/>
        </w:rPr>
      </w:pP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firstLine="720" w:firstLineChars="200"/>
        <w:jc w:val="left"/>
        <w:textAlignment w:val="auto"/>
        <w:rPr>
          <w:rStyle w:val="7"/>
          <w:rFonts w:hint="eastAsia" w:cs="仿宋"/>
          <w:b w:val="0"/>
          <w:bCs w:val="0"/>
          <w:kern w:val="0"/>
          <w:sz w:val="36"/>
          <w:szCs w:val="36"/>
          <w:lang w:val="en-US" w:eastAsia="zh-CN" w:bidi="ar"/>
        </w:rPr>
      </w:pPr>
    </w:p>
    <w:p>
      <w:pPr>
        <w:spacing w:after="0" w:line="259" w:lineRule="auto"/>
        <w:ind w:left="0" w:firstLine="0"/>
      </w:pPr>
      <w:r>
        <w:t xml:space="preserve">    </w:t>
      </w:r>
      <w:r>
        <w:rPr>
          <w:rFonts w:ascii="楷体" w:hAnsi="楷体" w:eastAsia="楷体" w:cs="楷体"/>
        </w:rPr>
        <w:t xml:space="preserve"> </w:t>
      </w:r>
    </w:p>
    <w:p>
      <w:pPr>
        <w:spacing w:after="0" w:line="259" w:lineRule="auto"/>
        <w:ind w:left="200" w:firstLine="0"/>
      </w:pPr>
      <w:r>
        <w:t xml:space="preserve"> </w:t>
      </w:r>
    </w:p>
    <w:p>
      <w:pPr>
        <w:spacing w:after="0" w:line="259" w:lineRule="auto"/>
        <w:ind w:left="601" w:firstLine="0"/>
      </w:pPr>
    </w:p>
    <w:p>
      <w:pPr>
        <w:spacing w:after="0" w:line="259" w:lineRule="auto"/>
        <w:ind w:left="601" w:firstLine="0"/>
      </w:pPr>
    </w:p>
    <w:p>
      <w:pPr>
        <w:spacing w:after="0" w:line="259" w:lineRule="auto"/>
        <w:ind w:left="601" w:firstLine="0"/>
      </w:pPr>
    </w:p>
    <w:p>
      <w:pPr>
        <w:numPr>
          <w:ilvl w:val="0"/>
          <w:numId w:val="0"/>
        </w:numPr>
      </w:pPr>
    </w:p>
    <w:sectPr>
      <w:pgSz w:w="11904" w:h="16840"/>
      <w:pgMar w:top="1735" w:right="1310" w:bottom="1899" w:left="1474" w:header="720" w:footer="1400" w:gutter="0"/>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66" w:firstLine="0"/>
      <w:jc w:val="center"/>
    </w:pPr>
    <w:r>
      <w:rPr>
        <w:rFonts w:ascii="宋体" w:hAnsi="宋体" w:eastAsia="宋体" w:cs="宋体"/>
        <w:sz w:val="24"/>
      </w:rPr>
      <w:t xml:space="preserve">— </w:t>
    </w:r>
    <w:r>
      <w:fldChar w:fldCharType="begin"/>
    </w:r>
    <w:r>
      <w:instrText xml:space="preserve"> PAGE   \* MERGEFORMAT </w:instrText>
    </w:r>
    <w:r>
      <w:fldChar w:fldCharType="separate"/>
    </w:r>
    <w:r>
      <w:rPr>
        <w:rFonts w:ascii="宋体" w:hAnsi="宋体" w:eastAsia="宋体" w:cs="宋体"/>
        <w:sz w:val="24"/>
      </w:rPr>
      <w:t>2</w:t>
    </w:r>
    <w:r>
      <w:rPr>
        <w:rFonts w:ascii="宋体" w:hAnsi="宋体" w:eastAsia="宋体" w:cs="宋体"/>
        <w:sz w:val="24"/>
      </w:rPr>
      <w:fldChar w:fldCharType="end"/>
    </w:r>
    <w:r>
      <w:rPr>
        <w:rFonts w:ascii="宋体" w:hAnsi="宋体" w:eastAsia="宋体" w:cs="宋体"/>
        <w:sz w:val="24"/>
      </w:rPr>
      <w:t xml:space="preserve"> —</w:t>
    </w:r>
    <w:r>
      <w:rPr>
        <w:rFonts w:ascii="Times New Roman" w:hAnsi="Times New Roman" w:eastAsia="Times New Roman" w:cs="Times New Roman"/>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66" w:firstLine="0"/>
      <w:jc w:val="center"/>
    </w:pPr>
    <w:r>
      <w:rPr>
        <w:rFonts w:ascii="宋体" w:hAnsi="宋体" w:eastAsia="宋体" w:cs="宋体"/>
        <w:sz w:val="24"/>
      </w:rPr>
      <w:t xml:space="preserve">— </w:t>
    </w:r>
    <w:r>
      <w:fldChar w:fldCharType="begin"/>
    </w:r>
    <w:r>
      <w:instrText xml:space="preserve"> PAGE   \* MERGEFORMAT </w:instrText>
    </w:r>
    <w:r>
      <w:fldChar w:fldCharType="separate"/>
    </w:r>
    <w:r>
      <w:rPr>
        <w:rFonts w:ascii="宋体" w:hAnsi="宋体" w:eastAsia="宋体" w:cs="宋体"/>
        <w:sz w:val="24"/>
      </w:rPr>
      <w:t>2</w:t>
    </w:r>
    <w:r>
      <w:rPr>
        <w:rFonts w:ascii="宋体" w:hAnsi="宋体" w:eastAsia="宋体" w:cs="宋体"/>
        <w:sz w:val="24"/>
      </w:rPr>
      <w:fldChar w:fldCharType="end"/>
    </w:r>
    <w:r>
      <w:rPr>
        <w:rFonts w:ascii="宋体" w:hAnsi="宋体" w:eastAsia="宋体" w:cs="宋体"/>
        <w:sz w:val="24"/>
      </w:rPr>
      <w:t xml:space="preserve"> —</w:t>
    </w:r>
    <w:r>
      <w:rPr>
        <w:rFonts w:ascii="Times New Roman" w:hAnsi="Times New Roman" w:eastAsia="Times New Roman" w:cs="Times New Roman"/>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8" w:firstLine="0"/>
      <w:jc w:val="center"/>
    </w:pPr>
    <w:r>
      <w:rPr>
        <w:rFonts w:ascii="宋体" w:hAnsi="宋体" w:eastAsia="宋体" w:cs="宋体"/>
        <w:sz w:val="24"/>
      </w:rPr>
      <w:t xml:space="preserve">— </w:t>
    </w:r>
    <w:r>
      <w:fldChar w:fldCharType="begin"/>
    </w:r>
    <w:r>
      <w:instrText xml:space="preserve"> PAGE   \* MERGEFORMAT </w:instrText>
    </w:r>
    <w:r>
      <w:fldChar w:fldCharType="separate"/>
    </w:r>
    <w:r>
      <w:rPr>
        <w:rFonts w:ascii="宋体" w:hAnsi="宋体" w:eastAsia="宋体" w:cs="宋体"/>
        <w:sz w:val="24"/>
      </w:rPr>
      <w:t>11</w:t>
    </w:r>
    <w:r>
      <w:rPr>
        <w:rFonts w:ascii="宋体" w:hAnsi="宋体" w:eastAsia="宋体" w:cs="宋体"/>
        <w:sz w:val="24"/>
      </w:rPr>
      <w:fldChar w:fldCharType="end"/>
    </w:r>
    <w:r>
      <w:rPr>
        <w:rFonts w:ascii="宋体" w:hAnsi="宋体" w:eastAsia="宋体" w:cs="宋体"/>
        <w:sz w:val="24"/>
      </w:rPr>
      <w:t xml:space="preserve"> —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8" w:firstLine="0"/>
      <w:jc w:val="center"/>
    </w:pPr>
    <w:r>
      <w:rPr>
        <w:rFonts w:ascii="宋体" w:hAnsi="宋体" w:eastAsia="宋体" w:cs="宋体"/>
        <w:sz w:val="24"/>
      </w:rPr>
      <w:t xml:space="preserve">— </w:t>
    </w:r>
    <w:r>
      <w:fldChar w:fldCharType="begin"/>
    </w:r>
    <w:r>
      <w:instrText xml:space="preserve"> PAGE   \* MERGEFORMAT </w:instrText>
    </w:r>
    <w:r>
      <w:fldChar w:fldCharType="separate"/>
    </w:r>
    <w:r>
      <w:rPr>
        <w:rFonts w:ascii="宋体" w:hAnsi="宋体" w:eastAsia="宋体" w:cs="宋体"/>
        <w:sz w:val="24"/>
      </w:rPr>
      <w:t>11</w:t>
    </w:r>
    <w:r>
      <w:rPr>
        <w:rFonts w:ascii="宋体" w:hAnsi="宋体" w:eastAsia="宋体" w:cs="宋体"/>
        <w:sz w:val="24"/>
      </w:rPr>
      <w:fldChar w:fldCharType="end"/>
    </w:r>
    <w:r>
      <w:rPr>
        <w:rFonts w:ascii="宋体" w:hAnsi="宋体" w:eastAsia="宋体" w:cs="宋体"/>
        <w:sz w:val="24"/>
      </w:rPr>
      <w:t xml:space="preserve"> —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8" w:firstLine="0"/>
      <w:jc w:val="center"/>
    </w:pPr>
    <w:r>
      <w:rPr>
        <w:rFonts w:ascii="宋体" w:hAnsi="宋体" w:eastAsia="宋体" w:cs="宋体"/>
        <w:sz w:val="24"/>
      </w:rPr>
      <w:t xml:space="preserve">— </w:t>
    </w:r>
    <w:r>
      <w:fldChar w:fldCharType="begin"/>
    </w:r>
    <w:r>
      <w:instrText xml:space="preserve"> PAGE   \* MERGEFORMAT </w:instrText>
    </w:r>
    <w:r>
      <w:fldChar w:fldCharType="separate"/>
    </w:r>
    <w:r>
      <w:rPr>
        <w:rFonts w:ascii="宋体" w:hAnsi="宋体" w:eastAsia="宋体" w:cs="宋体"/>
        <w:sz w:val="24"/>
      </w:rPr>
      <w:t>11</w:t>
    </w:r>
    <w:r>
      <w:rPr>
        <w:rFonts w:ascii="宋体" w:hAnsi="宋体" w:eastAsia="宋体" w:cs="宋体"/>
        <w:sz w:val="24"/>
      </w:rPr>
      <w:fldChar w:fldCharType="end"/>
    </w:r>
    <w:r>
      <w:rPr>
        <w:rFonts w:ascii="宋体" w:hAnsi="宋体" w:eastAsia="宋体" w:cs="宋体"/>
        <w:sz w:val="24"/>
      </w:rPr>
      <w:t xml:space="preserve"> —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64" w:firstLine="0"/>
      <w:jc w:val="center"/>
    </w:pPr>
    <w:r>
      <w:rPr>
        <w:rFonts w:ascii="宋体" w:hAnsi="宋体" w:eastAsia="宋体" w:cs="宋体"/>
        <w:sz w:val="24"/>
      </w:rPr>
      <w:t xml:space="preserve">— </w:t>
    </w:r>
    <w:r>
      <w:fldChar w:fldCharType="begin"/>
    </w:r>
    <w:r>
      <w:instrText xml:space="preserve"> PAGE   \* MERGEFORMAT </w:instrText>
    </w:r>
    <w:r>
      <w:fldChar w:fldCharType="separate"/>
    </w:r>
    <w:r>
      <w:rPr>
        <w:rFonts w:ascii="宋体" w:hAnsi="宋体" w:eastAsia="宋体" w:cs="宋体"/>
        <w:sz w:val="24"/>
      </w:rPr>
      <w:t>19</w:t>
    </w:r>
    <w:r>
      <w:rPr>
        <w:rFonts w:ascii="宋体" w:hAnsi="宋体" w:eastAsia="宋体" w:cs="宋体"/>
        <w:sz w:val="24"/>
      </w:rPr>
      <w:fldChar w:fldCharType="end"/>
    </w:r>
    <w:r>
      <w:rPr>
        <w:rFonts w:ascii="宋体" w:hAnsi="宋体" w:eastAsia="宋体" w:cs="宋体"/>
        <w:sz w:val="24"/>
      </w:rPr>
      <w:t xml:space="preserve"> —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64" w:firstLine="0"/>
      <w:jc w:val="center"/>
    </w:pPr>
    <w:r>
      <w:rPr>
        <w:rFonts w:ascii="宋体" w:hAnsi="宋体" w:eastAsia="宋体" w:cs="宋体"/>
        <w:sz w:val="24"/>
      </w:rPr>
      <w:t xml:space="preserve">— </w:t>
    </w:r>
    <w:r>
      <w:fldChar w:fldCharType="begin"/>
    </w:r>
    <w:r>
      <w:instrText xml:space="preserve"> PAGE   \* MERGEFORMAT </w:instrText>
    </w:r>
    <w:r>
      <w:fldChar w:fldCharType="separate"/>
    </w:r>
    <w:r>
      <w:rPr>
        <w:rFonts w:ascii="宋体" w:hAnsi="宋体" w:eastAsia="宋体" w:cs="宋体"/>
        <w:sz w:val="24"/>
      </w:rPr>
      <w:t>19</w:t>
    </w:r>
    <w:r>
      <w:rPr>
        <w:rFonts w:ascii="宋体" w:hAnsi="宋体" w:eastAsia="宋体" w:cs="宋体"/>
        <w:sz w:val="24"/>
      </w:rPr>
      <w:fldChar w:fldCharType="end"/>
    </w:r>
    <w:r>
      <w:rPr>
        <w:rFonts w:ascii="宋体" w:hAnsi="宋体" w:eastAsia="宋体" w:cs="宋体"/>
        <w:sz w:val="24"/>
      </w:rPr>
      <w:t xml:space="preserve"> —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64" w:firstLine="0"/>
      <w:jc w:val="center"/>
    </w:pPr>
    <w:r>
      <w:rPr>
        <w:rFonts w:ascii="宋体" w:hAnsi="宋体" w:eastAsia="宋体" w:cs="宋体"/>
        <w:sz w:val="24"/>
      </w:rPr>
      <w:t xml:space="preserve">— </w:t>
    </w:r>
    <w:r>
      <w:fldChar w:fldCharType="begin"/>
    </w:r>
    <w:r>
      <w:instrText xml:space="preserve"> PAGE   \* MERGEFORMAT </w:instrText>
    </w:r>
    <w:r>
      <w:fldChar w:fldCharType="separate"/>
    </w:r>
    <w:r>
      <w:rPr>
        <w:rFonts w:ascii="宋体" w:hAnsi="宋体" w:eastAsia="宋体" w:cs="宋体"/>
        <w:sz w:val="24"/>
      </w:rPr>
      <w:t>19</w:t>
    </w:r>
    <w:r>
      <w:rPr>
        <w:rFonts w:ascii="宋体" w:hAnsi="宋体" w:eastAsia="宋体" w:cs="宋体"/>
        <w:sz w:val="24"/>
      </w:rPr>
      <w:fldChar w:fldCharType="end"/>
    </w:r>
    <w:r>
      <w:rPr>
        <w:rFonts w:ascii="宋体" w:hAnsi="宋体" w:eastAsia="宋体" w:cs="宋体"/>
        <w:sz w:val="24"/>
      </w:rPr>
      <w:t xml:space="preserve"> —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E5936"/>
    <w:multiLevelType w:val="singleLevel"/>
    <w:tmpl w:val="769E593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isplayHorizontalDrawingGridEvery w:val="0"/>
  <w:displayVerticalDrawingGridEvery w:val="2"/>
  <w:characterSpacingControl w:val="doNotCompress"/>
  <w:compat>
    <w:balanceSingleByteDoubleByteWidth/>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E46"/>
    <w:rsid w:val="001259C5"/>
    <w:rsid w:val="001E3B91"/>
    <w:rsid w:val="003A4E46"/>
    <w:rsid w:val="00C81813"/>
    <w:rsid w:val="01874740"/>
    <w:rsid w:val="01C6636E"/>
    <w:rsid w:val="026E1470"/>
    <w:rsid w:val="034C0E99"/>
    <w:rsid w:val="070F4B49"/>
    <w:rsid w:val="08DF403E"/>
    <w:rsid w:val="09D443D6"/>
    <w:rsid w:val="0A3E4930"/>
    <w:rsid w:val="0C24330B"/>
    <w:rsid w:val="0D5834FE"/>
    <w:rsid w:val="0E383E4D"/>
    <w:rsid w:val="0E4D395C"/>
    <w:rsid w:val="0E9073AC"/>
    <w:rsid w:val="0FB834ED"/>
    <w:rsid w:val="0FDC29F0"/>
    <w:rsid w:val="10F35E7D"/>
    <w:rsid w:val="118D00F6"/>
    <w:rsid w:val="11A8721B"/>
    <w:rsid w:val="125E18F4"/>
    <w:rsid w:val="134054AA"/>
    <w:rsid w:val="13A651CE"/>
    <w:rsid w:val="13C16CB6"/>
    <w:rsid w:val="15336BCB"/>
    <w:rsid w:val="16120324"/>
    <w:rsid w:val="16660495"/>
    <w:rsid w:val="17150BEF"/>
    <w:rsid w:val="17777D59"/>
    <w:rsid w:val="19112D93"/>
    <w:rsid w:val="198C2ADA"/>
    <w:rsid w:val="19D80147"/>
    <w:rsid w:val="1D7C5510"/>
    <w:rsid w:val="1E1D6B91"/>
    <w:rsid w:val="1E6031C0"/>
    <w:rsid w:val="1F97503E"/>
    <w:rsid w:val="20F5482F"/>
    <w:rsid w:val="21F50C46"/>
    <w:rsid w:val="23B37F69"/>
    <w:rsid w:val="252B5741"/>
    <w:rsid w:val="255018C6"/>
    <w:rsid w:val="25505F50"/>
    <w:rsid w:val="25577A3F"/>
    <w:rsid w:val="25EA698E"/>
    <w:rsid w:val="26AB31A1"/>
    <w:rsid w:val="26AF3DCF"/>
    <w:rsid w:val="26D42EC5"/>
    <w:rsid w:val="274D5C0D"/>
    <w:rsid w:val="289232CF"/>
    <w:rsid w:val="2898693F"/>
    <w:rsid w:val="29CE4501"/>
    <w:rsid w:val="2A8C706E"/>
    <w:rsid w:val="2A913341"/>
    <w:rsid w:val="2AC612FB"/>
    <w:rsid w:val="2BE40324"/>
    <w:rsid w:val="2C240E7F"/>
    <w:rsid w:val="2C455495"/>
    <w:rsid w:val="2C7579B5"/>
    <w:rsid w:val="2CB1086D"/>
    <w:rsid w:val="2D642A34"/>
    <w:rsid w:val="2F2A6FC8"/>
    <w:rsid w:val="2FB37297"/>
    <w:rsid w:val="2FD82AE8"/>
    <w:rsid w:val="305114F4"/>
    <w:rsid w:val="30C62D1D"/>
    <w:rsid w:val="30DE4CFD"/>
    <w:rsid w:val="31AB22BE"/>
    <w:rsid w:val="31C0596C"/>
    <w:rsid w:val="338E03A3"/>
    <w:rsid w:val="348E5AD4"/>
    <w:rsid w:val="35727362"/>
    <w:rsid w:val="35AC0CA2"/>
    <w:rsid w:val="35F64273"/>
    <w:rsid w:val="37014AEF"/>
    <w:rsid w:val="38530065"/>
    <w:rsid w:val="38EB4925"/>
    <w:rsid w:val="38F37FE7"/>
    <w:rsid w:val="398F0529"/>
    <w:rsid w:val="39F21D95"/>
    <w:rsid w:val="3A0411DC"/>
    <w:rsid w:val="3BF83FD9"/>
    <w:rsid w:val="3D253547"/>
    <w:rsid w:val="3D6C1A33"/>
    <w:rsid w:val="3D8F5689"/>
    <w:rsid w:val="3E3D5D0D"/>
    <w:rsid w:val="3EC56D50"/>
    <w:rsid w:val="3F4F7ECA"/>
    <w:rsid w:val="3F582A82"/>
    <w:rsid w:val="3F683D26"/>
    <w:rsid w:val="40027E58"/>
    <w:rsid w:val="40994786"/>
    <w:rsid w:val="40D2193C"/>
    <w:rsid w:val="41CF2A63"/>
    <w:rsid w:val="428723A8"/>
    <w:rsid w:val="42890877"/>
    <w:rsid w:val="42DE5A84"/>
    <w:rsid w:val="43F8350C"/>
    <w:rsid w:val="449D7F9C"/>
    <w:rsid w:val="45F32092"/>
    <w:rsid w:val="48002F05"/>
    <w:rsid w:val="488752D2"/>
    <w:rsid w:val="48B43224"/>
    <w:rsid w:val="48F93A15"/>
    <w:rsid w:val="4B9F277E"/>
    <w:rsid w:val="4C7C2B70"/>
    <w:rsid w:val="4CF80C51"/>
    <w:rsid w:val="4D0224AB"/>
    <w:rsid w:val="4D1E4E62"/>
    <w:rsid w:val="4EA177AA"/>
    <w:rsid w:val="502D1B71"/>
    <w:rsid w:val="50A41ADC"/>
    <w:rsid w:val="50DF08F6"/>
    <w:rsid w:val="51985C85"/>
    <w:rsid w:val="51F03770"/>
    <w:rsid w:val="52503C6F"/>
    <w:rsid w:val="5434163C"/>
    <w:rsid w:val="54B26FD9"/>
    <w:rsid w:val="54F84B6A"/>
    <w:rsid w:val="54FA6883"/>
    <w:rsid w:val="55880174"/>
    <w:rsid w:val="55B46B07"/>
    <w:rsid w:val="562A4693"/>
    <w:rsid w:val="5631528A"/>
    <w:rsid w:val="56F258CC"/>
    <w:rsid w:val="574D6CA1"/>
    <w:rsid w:val="583819E7"/>
    <w:rsid w:val="583C67AE"/>
    <w:rsid w:val="588C6F2C"/>
    <w:rsid w:val="58ED4058"/>
    <w:rsid w:val="5AE5264E"/>
    <w:rsid w:val="5B6D555F"/>
    <w:rsid w:val="5BA103DD"/>
    <w:rsid w:val="5BD67C1A"/>
    <w:rsid w:val="5BF25548"/>
    <w:rsid w:val="5CBD36E9"/>
    <w:rsid w:val="5DF947C9"/>
    <w:rsid w:val="5E355976"/>
    <w:rsid w:val="5F431CB3"/>
    <w:rsid w:val="5F706DF8"/>
    <w:rsid w:val="5F98784D"/>
    <w:rsid w:val="60E571FE"/>
    <w:rsid w:val="61F15524"/>
    <w:rsid w:val="61FB2F92"/>
    <w:rsid w:val="63137ADE"/>
    <w:rsid w:val="638147F2"/>
    <w:rsid w:val="656841AE"/>
    <w:rsid w:val="66063135"/>
    <w:rsid w:val="667A6A14"/>
    <w:rsid w:val="67703F2D"/>
    <w:rsid w:val="67DA434A"/>
    <w:rsid w:val="68811C10"/>
    <w:rsid w:val="688941A6"/>
    <w:rsid w:val="68CD289D"/>
    <w:rsid w:val="68FB7EFA"/>
    <w:rsid w:val="69981ECA"/>
    <w:rsid w:val="6A57158A"/>
    <w:rsid w:val="6B4F7ADD"/>
    <w:rsid w:val="6C332382"/>
    <w:rsid w:val="6D0073B9"/>
    <w:rsid w:val="6D2F742C"/>
    <w:rsid w:val="6DE1378B"/>
    <w:rsid w:val="6E154113"/>
    <w:rsid w:val="6E364AEF"/>
    <w:rsid w:val="6E4C6CBC"/>
    <w:rsid w:val="6EB47EBD"/>
    <w:rsid w:val="6EE239A7"/>
    <w:rsid w:val="7056289A"/>
    <w:rsid w:val="71367783"/>
    <w:rsid w:val="716760D3"/>
    <w:rsid w:val="72A87F24"/>
    <w:rsid w:val="72BB1ED1"/>
    <w:rsid w:val="73CB6DEA"/>
    <w:rsid w:val="73D31357"/>
    <w:rsid w:val="73F16BB7"/>
    <w:rsid w:val="742326BC"/>
    <w:rsid w:val="746D19E6"/>
    <w:rsid w:val="750A1320"/>
    <w:rsid w:val="755E0AD4"/>
    <w:rsid w:val="75FE53C8"/>
    <w:rsid w:val="75FF046B"/>
    <w:rsid w:val="767B492B"/>
    <w:rsid w:val="779D297C"/>
    <w:rsid w:val="77BC6680"/>
    <w:rsid w:val="78DB49E8"/>
    <w:rsid w:val="79413F04"/>
    <w:rsid w:val="794A3FC1"/>
    <w:rsid w:val="795F5082"/>
    <w:rsid w:val="79712F71"/>
    <w:rsid w:val="7B7D1E4E"/>
    <w:rsid w:val="7BFE1F5D"/>
    <w:rsid w:val="7C796616"/>
    <w:rsid w:val="7CA04A45"/>
    <w:rsid w:val="7D346DA9"/>
    <w:rsid w:val="7D464076"/>
    <w:rsid w:val="7DCC6F28"/>
    <w:rsid w:val="7FED2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3" w:line="345" w:lineRule="auto"/>
      <w:ind w:left="10" w:hanging="10"/>
    </w:pPr>
    <w:rPr>
      <w:rFonts w:ascii="仿宋" w:hAnsi="仿宋" w:eastAsia="仿宋" w:cs="仿宋"/>
      <w:color w:val="000000"/>
      <w:kern w:val="2"/>
      <w:sz w:val="32"/>
      <w:szCs w:val="22"/>
      <w:lang w:val="en-US" w:eastAsia="zh-CN" w:bidi="ar-SA"/>
    </w:rPr>
  </w:style>
  <w:style w:type="paragraph" w:styleId="2">
    <w:name w:val="heading 1"/>
    <w:next w:val="1"/>
    <w:link w:val="18"/>
    <w:unhideWhenUsed/>
    <w:qFormat/>
    <w:uiPriority w:val="9"/>
    <w:pPr>
      <w:keepNext/>
      <w:keepLines/>
      <w:spacing w:line="259" w:lineRule="auto"/>
      <w:ind w:left="10" w:hanging="10"/>
      <w:outlineLvl w:val="0"/>
    </w:pPr>
    <w:rPr>
      <w:rFonts w:ascii="黑体" w:hAnsi="黑体" w:eastAsia="黑体" w:cs="黑体"/>
      <w:color w:val="000000"/>
      <w:kern w:val="2"/>
      <w:sz w:val="52"/>
      <w:szCs w:val="22"/>
      <w:lang w:val="en-US" w:eastAsia="zh-CN" w:bidi="ar-SA"/>
    </w:rPr>
  </w:style>
  <w:style w:type="paragraph" w:styleId="3">
    <w:name w:val="heading 2"/>
    <w:next w:val="1"/>
    <w:link w:val="17"/>
    <w:unhideWhenUsed/>
    <w:qFormat/>
    <w:uiPriority w:val="9"/>
    <w:pPr>
      <w:keepNext/>
      <w:keepLines/>
      <w:spacing w:after="150" w:line="259" w:lineRule="auto"/>
      <w:ind w:left="644" w:hanging="10"/>
      <w:outlineLvl w:val="1"/>
    </w:pPr>
    <w:rPr>
      <w:rFonts w:ascii="楷体" w:hAnsi="楷体" w:eastAsia="楷体" w:cs="楷体"/>
      <w:color w:val="000000"/>
      <w:kern w:val="2"/>
      <w:sz w:val="32"/>
      <w:szCs w:val="22"/>
      <w:lang w:val="en-US" w:eastAsia="zh-CN" w:bidi="ar-SA"/>
    </w:rPr>
  </w:style>
  <w:style w:type="paragraph" w:styleId="4">
    <w:name w:val="heading 3"/>
    <w:next w:val="1"/>
    <w:link w:val="19"/>
    <w:unhideWhenUsed/>
    <w:qFormat/>
    <w:uiPriority w:val="9"/>
    <w:pPr>
      <w:keepNext/>
      <w:keepLines/>
      <w:spacing w:after="150" w:line="259" w:lineRule="auto"/>
      <w:ind w:left="293" w:hanging="10"/>
      <w:outlineLvl w:val="2"/>
    </w:pPr>
    <w:rPr>
      <w:rFonts w:ascii="黑体" w:hAnsi="黑体" w:eastAsia="黑体" w:cs="黑体"/>
      <w:color w:val="000000"/>
      <w:kern w:val="2"/>
      <w:sz w:val="32"/>
      <w:szCs w:val="22"/>
      <w:lang w:val="en-US" w:eastAsia="zh-CN" w:bidi="ar-SA"/>
    </w:rPr>
  </w:style>
  <w:style w:type="character" w:default="1" w:styleId="6">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semiHidden/>
    <w:unhideWhenUsed/>
    <w:qFormat/>
    <w:uiPriority w:val="99"/>
    <w:rPr>
      <w:color w:val="333333"/>
      <w:u w:val="none"/>
    </w:rPr>
  </w:style>
  <w:style w:type="character" w:styleId="9">
    <w:name w:val="Emphasis"/>
    <w:basedOn w:val="6"/>
    <w:qFormat/>
    <w:uiPriority w:val="20"/>
  </w:style>
  <w:style w:type="character" w:styleId="10">
    <w:name w:val="HTML Definition"/>
    <w:basedOn w:val="6"/>
    <w:semiHidden/>
    <w:unhideWhenUsed/>
    <w:qFormat/>
    <w:uiPriority w:val="99"/>
  </w:style>
  <w:style w:type="character" w:styleId="11">
    <w:name w:val="HTML Acronym"/>
    <w:basedOn w:val="6"/>
    <w:semiHidden/>
    <w:unhideWhenUsed/>
    <w:uiPriority w:val="99"/>
  </w:style>
  <w:style w:type="character" w:styleId="12">
    <w:name w:val="HTML Variable"/>
    <w:basedOn w:val="6"/>
    <w:semiHidden/>
    <w:unhideWhenUsed/>
    <w:qFormat/>
    <w:uiPriority w:val="99"/>
  </w:style>
  <w:style w:type="character" w:styleId="13">
    <w:name w:val="Hyperlink"/>
    <w:basedOn w:val="6"/>
    <w:semiHidden/>
    <w:unhideWhenUsed/>
    <w:uiPriority w:val="99"/>
    <w:rPr>
      <w:color w:val="333333"/>
      <w:u w:val="none"/>
    </w:rPr>
  </w:style>
  <w:style w:type="character" w:styleId="14">
    <w:name w:val="HTML Code"/>
    <w:basedOn w:val="6"/>
    <w:semiHidden/>
    <w:unhideWhenUsed/>
    <w:qFormat/>
    <w:uiPriority w:val="99"/>
    <w:rPr>
      <w:rFonts w:hint="eastAsia" w:ascii="微软雅黑" w:hAnsi="微软雅黑" w:eastAsia="微软雅黑" w:cs="微软雅黑"/>
      <w:color w:val="333333"/>
      <w:sz w:val="21"/>
      <w:szCs w:val="21"/>
    </w:rPr>
  </w:style>
  <w:style w:type="character" w:styleId="15">
    <w:name w:val="HTML Cite"/>
    <w:basedOn w:val="6"/>
    <w:semiHidden/>
    <w:unhideWhenUsed/>
    <w:uiPriority w:val="99"/>
  </w:style>
  <w:style w:type="character" w:customStyle="1" w:styleId="17">
    <w:name w:val="标题 2 Char"/>
    <w:link w:val="3"/>
    <w:qFormat/>
    <w:uiPriority w:val="0"/>
    <w:rPr>
      <w:rFonts w:ascii="楷体" w:hAnsi="楷体" w:eastAsia="楷体" w:cs="楷体"/>
      <w:color w:val="000000"/>
      <w:sz w:val="32"/>
    </w:rPr>
  </w:style>
  <w:style w:type="character" w:customStyle="1" w:styleId="18">
    <w:name w:val="标题 1 Char"/>
    <w:link w:val="2"/>
    <w:qFormat/>
    <w:uiPriority w:val="0"/>
    <w:rPr>
      <w:rFonts w:ascii="黑体" w:hAnsi="黑体" w:eastAsia="黑体" w:cs="黑体"/>
      <w:color w:val="000000"/>
      <w:sz w:val="52"/>
    </w:rPr>
  </w:style>
  <w:style w:type="character" w:customStyle="1" w:styleId="19">
    <w:name w:val="标题 3 Char"/>
    <w:link w:val="4"/>
    <w:qFormat/>
    <w:uiPriority w:val="0"/>
    <w:rPr>
      <w:rFonts w:ascii="黑体" w:hAnsi="黑体" w:eastAsia="黑体" w:cs="黑体"/>
      <w:color w:val="000000"/>
      <w:sz w:val="32"/>
    </w:rPr>
  </w:style>
  <w:style w:type="table" w:customStyle="1" w:styleId="20">
    <w:name w:val="TableGrid"/>
    <w:qFormat/>
    <w:uiPriority w:val="0"/>
    <w:tblPr>
      <w:tblLayout w:type="fixed"/>
      <w:tblCellMar>
        <w:top w:w="0" w:type="dxa"/>
        <w:left w:w="0" w:type="dxa"/>
        <w:bottom w:w="0" w:type="dxa"/>
        <w:right w:w="0" w:type="dxa"/>
      </w:tblCellMar>
    </w:tblPr>
  </w:style>
  <w:style w:type="character" w:customStyle="1" w:styleId="21">
    <w:name w:val="font21"/>
    <w:basedOn w:val="6"/>
    <w:qFormat/>
    <w:uiPriority w:val="0"/>
    <w:rPr>
      <w:rFonts w:hint="eastAsia" w:ascii="宋体" w:hAnsi="宋体" w:eastAsia="宋体" w:cs="宋体"/>
      <w:color w:val="000000"/>
      <w:sz w:val="24"/>
      <w:szCs w:val="24"/>
      <w:u w:val="none"/>
    </w:rPr>
  </w:style>
  <w:style w:type="character" w:customStyle="1" w:styleId="22">
    <w:name w:val="font01"/>
    <w:basedOn w:val="6"/>
    <w:qFormat/>
    <w:uiPriority w:val="0"/>
    <w:rPr>
      <w:rFonts w:hint="eastAsia" w:ascii="宋体" w:hAnsi="宋体" w:eastAsia="宋体" w:cs="宋体"/>
      <w:color w:val="000000"/>
      <w:sz w:val="24"/>
      <w:szCs w:val="24"/>
      <w:u w:val="none"/>
    </w:rPr>
  </w:style>
  <w:style w:type="character" w:customStyle="1" w:styleId="23">
    <w:name w:val="font31"/>
    <w:basedOn w:val="6"/>
    <w:qFormat/>
    <w:uiPriority w:val="0"/>
    <w:rPr>
      <w:rFonts w:hint="eastAsia" w:ascii="宋体" w:hAnsi="宋体" w:eastAsia="宋体" w:cs="宋体"/>
      <w:color w:val="000000"/>
      <w:sz w:val="24"/>
      <w:szCs w:val="24"/>
      <w:u w:val="none"/>
    </w:rPr>
  </w:style>
  <w:style w:type="character" w:customStyle="1" w:styleId="24">
    <w:name w:val="hj-easyread-speakerprocesser-position-action-icon"/>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chart" Target="charts/chart2.xml"/><Relationship Id="rId16" Type="http://schemas.openxmlformats.org/officeDocument/2006/relationships/image" Target="media/image3.png"/><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chart" Target="charts/chart1.xml"/><Relationship Id="rId12" Type="http://schemas.openxmlformats.org/officeDocument/2006/relationships/theme" Target="theme/theme1.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6032;&#24314;%20XLS%20&#24037;&#20316;&#34920;%20(2).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6032;&#24314;%20XLS%20&#24037;&#20316;&#34920;%20(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收入支出决算总计变动情况  </a:t>
            </a:r>
            <a:endParaRPr alt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 (2).xls]Sheet6'!$A$1:$A$2</c:f>
              <c:strCache>
                <c:ptCount val="2"/>
                <c:pt idx="0">
                  <c:v>2018年收入支出（万元）</c:v>
                </c:pt>
                <c:pt idx="1">
                  <c:v>2017年收入支出（万元）</c:v>
                </c:pt>
              </c:strCache>
            </c:strRef>
          </c:cat>
          <c:val>
            <c:numRef>
              <c:f>'[新建 XLS 工作表 (2).xls]Sheet6'!$B$1:$B$2</c:f>
              <c:numCache>
                <c:formatCode>General</c:formatCode>
                <c:ptCount val="2"/>
                <c:pt idx="0">
                  <c:v>17265.78</c:v>
                </c:pt>
                <c:pt idx="1">
                  <c:v>16658.24</c:v>
                </c:pt>
              </c:numCache>
            </c:numRef>
          </c:val>
        </c:ser>
        <c:dLbls>
          <c:showLegendKey val="0"/>
          <c:showVal val="1"/>
          <c:showCatName val="0"/>
          <c:showSerName val="0"/>
          <c:showPercent val="0"/>
          <c:showBubbleSize val="0"/>
        </c:dLbls>
        <c:gapWidth val="219"/>
        <c:overlap val="-27"/>
        <c:axId val="832788408"/>
        <c:axId val="413013418"/>
      </c:barChart>
      <c:catAx>
        <c:axId val="83278840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3013418"/>
        <c:crosses val="autoZero"/>
        <c:auto val="1"/>
        <c:lblAlgn val="ctr"/>
        <c:lblOffset val="100"/>
        <c:noMultiLvlLbl val="0"/>
      </c:catAx>
      <c:valAx>
        <c:axId val="41301341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2788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2018</a:t>
            </a:r>
            <a:r>
              <a:rPr altLang="en-US"/>
              <a:t>年支出决算明细</a:t>
            </a:r>
            <a:endParaRPr altLang="en-US"/>
          </a:p>
        </c:rich>
      </c:tx>
      <c:layout/>
      <c:overlay val="0"/>
      <c:spPr>
        <a:noFill/>
        <a:ln>
          <a:noFill/>
        </a:ln>
        <a:effectLst/>
      </c:spPr>
    </c:title>
    <c:autoTitleDeleted val="0"/>
    <c:plotArea>
      <c:layout>
        <c:manualLayout>
          <c:layoutTarget val="inner"/>
          <c:xMode val="edge"/>
          <c:yMode val="edge"/>
          <c:x val="0.178669177652228"/>
          <c:y val="0.254652777777778"/>
          <c:w val="0.368462021343377"/>
          <c:h val="0.679351851851852"/>
        </c:manualLayout>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 (2).xls]Sheet6'!$C$5:$C$7</c:f>
              <c:strCache>
                <c:ptCount val="3"/>
                <c:pt idx="0">
                  <c:v>工资福利支出</c:v>
                </c:pt>
                <c:pt idx="1">
                  <c:v>商品和服务支出</c:v>
                </c:pt>
                <c:pt idx="2">
                  <c:v>对个人和家庭的补助支出</c:v>
                </c:pt>
              </c:strCache>
            </c:strRef>
          </c:cat>
          <c:val>
            <c:numRef>
              <c:f>'[新建 XLS 工作表 (2).xls]Sheet6'!$D$5:$D$7</c:f>
              <c:numCache>
                <c:formatCode>0.00%</c:formatCode>
                <c:ptCount val="3"/>
                <c:pt idx="0">
                  <c:v>0.345517549742902</c:v>
                </c:pt>
                <c:pt idx="1">
                  <c:v>0.632990226911266</c:v>
                </c:pt>
                <c:pt idx="2">
                  <c:v>0.021492223345832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99435028248588"/>
          <c:y val="0.347222222222222"/>
          <c:w val="0.285499058380414"/>
          <c:h val="0.30069444444444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2753</Words>
  <Characters>15693</Characters>
  <Lines>1</Lines>
  <Paragraphs>1</Paragraphs>
  <TotalTime>9</TotalTime>
  <ScaleCrop>false</ScaleCrop>
  <LinksUpToDate>false</LinksUpToDate>
  <CharactersWithSpaces>18410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2019-04-18T09:14:00Z</dcterms:created>
  <dc:creator>lhf</dc:creator>
  <cp:lastModifiedBy>Administrator</cp:lastModifiedBy>
  <dcterms:modified xsi:type="dcterms:W3CDTF">2019-09-12T01:10:59Z</dcterms:modified>
  <dc:title>&lt;4D6963726F736F667420576F7264202D2032303137C4EAB2C6D5FECCFCB2BFC3C5BEF6CBE3B9ABBFAA382E3234D7EEBAF3B8C4&gt;</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